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textAlignment w:val="center"/>
        <w:rPr>
          <w:rFonts w:hint="eastAsia" w:ascii="宋体" w:hAnsi="宋体" w:eastAsia="宋体" w:cs="宋体"/>
          <w:b/>
          <w:bCs/>
          <w:i w:val="0"/>
          <w:color w:val="auto"/>
          <w:kern w:val="0"/>
          <w:sz w:val="28"/>
          <w:szCs w:val="28"/>
          <w:u w:val="none"/>
          <w:lang w:val="en-US" w:eastAsia="zh-CN"/>
        </w:rPr>
      </w:pPr>
      <w:r>
        <w:rPr>
          <w:rFonts w:hint="eastAsia" w:ascii="宋体" w:hAnsi="宋体" w:eastAsia="宋体" w:cs="宋体"/>
          <w:b/>
          <w:bCs/>
          <w:i w:val="0"/>
          <w:color w:val="auto"/>
          <w:kern w:val="0"/>
          <w:sz w:val="28"/>
          <w:szCs w:val="28"/>
          <w:u w:val="none"/>
          <w:lang w:val="en-US" w:eastAsia="zh-CN"/>
        </w:rPr>
        <w:t>“浅底坑”电梯定期检验</w:t>
      </w:r>
      <w:r>
        <w:rPr>
          <w:rFonts w:hint="eastAsia" w:ascii="宋体" w:hAnsi="宋体" w:cs="宋体"/>
          <w:b/>
          <w:bCs/>
          <w:i w:val="0"/>
          <w:color w:val="auto"/>
          <w:kern w:val="0"/>
          <w:sz w:val="28"/>
          <w:szCs w:val="28"/>
          <w:u w:val="none"/>
          <w:lang w:val="en-US" w:eastAsia="zh-CN"/>
        </w:rPr>
        <w:t>自检报告</w:t>
      </w:r>
      <w:r>
        <w:rPr>
          <w:rFonts w:hint="eastAsia" w:ascii="宋体" w:hAnsi="宋体" w:eastAsia="宋体" w:cs="宋体"/>
          <w:b/>
          <w:bCs/>
          <w:i w:val="0"/>
          <w:color w:val="auto"/>
          <w:kern w:val="0"/>
          <w:sz w:val="28"/>
          <w:szCs w:val="28"/>
          <w:u w:val="none"/>
          <w:lang w:val="en-US" w:eastAsia="zh-CN"/>
        </w:rPr>
        <w:t>附加页</w:t>
      </w:r>
    </w:p>
    <w:p>
      <w:pPr>
        <w:widowControl/>
        <w:numPr>
          <w:ilvl w:val="0"/>
          <w:numId w:val="0"/>
        </w:numPr>
        <w:jc w:val="center"/>
        <w:textAlignment w:val="center"/>
        <w:rPr>
          <w:rFonts w:hint="eastAsia" w:ascii="宋体" w:hAnsi="宋体" w:eastAsia="宋体" w:cs="宋体"/>
          <w:b/>
          <w:bCs/>
          <w:i w:val="0"/>
          <w:color w:val="auto"/>
          <w:kern w:val="0"/>
          <w:sz w:val="28"/>
          <w:szCs w:val="28"/>
          <w:u w:val="none"/>
          <w:lang w:val="en-US" w:eastAsia="zh-CN"/>
        </w:rPr>
      </w:pPr>
    </w:p>
    <w:tbl>
      <w:tblPr>
        <w:tblStyle w:val="3"/>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1"/>
        <w:gridCol w:w="651"/>
        <w:gridCol w:w="6429"/>
        <w:gridCol w:w="635"/>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0" w:hRule="atLeast"/>
        </w:trPr>
        <w:tc>
          <w:tcPr>
            <w:tcW w:w="1242" w:type="dxa"/>
            <w:gridSpan w:val="2"/>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6429"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自验</w:t>
            </w:r>
            <w:r>
              <w:rPr>
                <w:rFonts w:hint="eastAsia" w:ascii="宋体" w:hAnsi="宋体" w:eastAsia="宋体" w:cs="宋体"/>
                <w:i w:val="0"/>
                <w:color w:val="auto"/>
                <w:kern w:val="0"/>
                <w:sz w:val="24"/>
                <w:szCs w:val="24"/>
                <w:u w:val="none"/>
                <w:lang w:val="en-US" w:eastAsia="zh-CN" w:bidi="ar"/>
              </w:rPr>
              <w:t>内容与要求</w:t>
            </w:r>
          </w:p>
        </w:tc>
        <w:tc>
          <w:tcPr>
            <w:tcW w:w="635"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b/>
                <w:sz w:val="18"/>
                <w:szCs w:val="18"/>
              </w:rPr>
              <w:t>结果</w:t>
            </w:r>
          </w:p>
        </w:tc>
        <w:tc>
          <w:tcPr>
            <w:tcW w:w="636"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减小的底坑间距</w:t>
            </w: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2</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w:t>
            </w: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电梯应设置保证底坑空间的可移动止停装置；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Style w:val="4"/>
                <w:color w:val="auto"/>
                <w:lang w:val="en-US" w:eastAsia="zh-CN" w:bidi="ar"/>
              </w:rPr>
              <w:t>可移动止停装置应最迟在安全系统动作时自动地操作；或手动操作</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r>
              <w:rPr>
                <w:rStyle w:val="4"/>
                <w:color w:val="auto"/>
                <w:lang w:val="en-US" w:eastAsia="zh-CN" w:bidi="ar"/>
              </w:rPr>
              <w:t>电源故障情况下：</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a)自动操作的可移动止停装置应动作，至少在电源恢复前保持在动作状态；</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b)对于手动操作的可移动止停装置，保持轿厢停止的机械安全装置应动作，至少在电源恢复前保持在动作状态。</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r>
              <w:rPr>
                <w:rStyle w:val="4"/>
                <w:color w:val="auto"/>
                <w:lang w:val="en-US" w:eastAsia="zh-CN" w:bidi="ar"/>
              </w:rPr>
              <w:t>应为可移动止停装置设置符合要求的电气安全装置以监测其：</w:t>
            </w:r>
            <w:r>
              <w:rPr>
                <w:rFonts w:hint="eastAsia" w:ascii="宋体" w:hAnsi="宋体" w:eastAsia="宋体" w:cs="宋体"/>
                <w:i w:val="0"/>
                <w:color w:val="auto"/>
                <w:kern w:val="0"/>
                <w:sz w:val="24"/>
                <w:szCs w:val="24"/>
                <w:u w:val="none"/>
                <w:lang w:val="en-US" w:eastAsia="zh-CN" w:bidi="ar"/>
              </w:rPr>
              <w:t xml:space="preserve">a)完全伸展（动作）位置；和                                          </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b)完全收回（未动作）位置。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自动操作的可移动止停装置应设计成：防止其在完全收回位置和完全伸展位置之间移动时因任何撞击而造成的损坏</w:t>
            </w:r>
            <w:r>
              <w:rPr>
                <w:rFonts w:hint="eastAsia" w:ascii="宋体" w:hAnsi="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r>
              <w:rPr>
                <w:rStyle w:val="4"/>
                <w:color w:val="auto"/>
                <w:lang w:val="en-US" w:eastAsia="zh-CN" w:bidi="ar"/>
              </w:rPr>
              <w:t>手动操作可移动止停装置时，如果可移动止停装置不在动作位置，机械安全装置应通过安全系统操作，以防止轿厢在下行方向上的任何移动</w:t>
            </w:r>
          </w:p>
        </w:tc>
        <w:tc>
          <w:tcPr>
            <w:tcW w:w="635"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c>
          <w:tcPr>
            <w:tcW w:w="636"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2"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3</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可移动止停装置的缓冲器</w:t>
            </w:r>
          </w:p>
        </w:tc>
        <w:tc>
          <w:tcPr>
            <w:tcW w:w="6429"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可移动止停装置应当设置缓冲器，并满足3.15(1)、3.15(2)、3.15(3)和3.15(4)的</w:t>
            </w: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p>
        </w:tc>
        <w:tc>
          <w:tcPr>
            <w:tcW w:w="635"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636"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5</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安全系统</w:t>
            </w: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（1）应设置电气安全装置，该装置应：</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a）使安全系统动作，中止电梯的正常运行；</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b）用钥匙打开进入</w:t>
            </w:r>
            <w:r>
              <w:rPr>
                <w:rFonts w:hint="eastAsia" w:ascii="宋体" w:hAnsi="宋体" w:cs="宋体"/>
                <w:i w:val="0"/>
                <w:color w:val="auto"/>
                <w:kern w:val="0"/>
                <w:sz w:val="24"/>
                <w:szCs w:val="24"/>
                <w:u w:val="none"/>
                <w:lang w:val="en-US" w:eastAsia="zh-CN" w:bidi="ar"/>
              </w:rPr>
              <w:t>底</w:t>
            </w:r>
            <w:r>
              <w:rPr>
                <w:rFonts w:hint="eastAsia" w:ascii="宋体" w:hAnsi="宋体" w:eastAsia="宋体" w:cs="宋体"/>
                <w:i w:val="0"/>
                <w:color w:val="auto"/>
                <w:kern w:val="0"/>
                <w:sz w:val="24"/>
                <w:szCs w:val="24"/>
                <w:u w:val="none"/>
                <w:lang w:val="en-US" w:eastAsia="zh-CN" w:bidi="ar"/>
              </w:rPr>
              <w:t>坑的任何门或活板门时，该电气安全装置应动作；</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地坎距底坑地面的距离小于2.5m的任何门或活板门视为进入底坑的门。</w:t>
            </w:r>
            <w:r>
              <w:rPr>
                <w:rFonts w:hint="eastAsia" w:ascii="宋体" w:hAnsi="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c）是双稳态开关；</w:t>
            </w:r>
          </w:p>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d）与安全系统一起复位。</w:t>
            </w:r>
          </w:p>
        </w:tc>
        <w:tc>
          <w:tcPr>
            <w:tcW w:w="635"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636"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2" w:hRule="atLeast"/>
        </w:trPr>
        <w:tc>
          <w:tcPr>
            <w:tcW w:w="591" w:type="dxa"/>
            <w:vMerge w:val="continue"/>
            <w:vAlign w:val="center"/>
          </w:tcPr>
          <w:p>
            <w:pPr>
              <w:keepNext w:val="0"/>
              <w:keepLines w:val="0"/>
              <w:widowControl/>
              <w:suppressLineNumbers w:val="0"/>
              <w:jc w:val="both"/>
              <w:textAlignment w:val="center"/>
            </w:pPr>
          </w:p>
        </w:tc>
        <w:tc>
          <w:tcPr>
            <w:tcW w:w="651" w:type="dxa"/>
            <w:vMerge w:val="continue"/>
            <w:vAlign w:val="center"/>
          </w:tcP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（2）应设置电气复位装置，该装置应：</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a）采用挂锁或其他等效装置锁住；</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b）设置在井道外</w:t>
            </w:r>
            <w:r>
              <w:rPr>
                <w:rFonts w:hint="eastAsia" w:ascii="宋体" w:hAnsi="宋体" w:cs="宋体"/>
                <w:i w:val="0"/>
                <w:color w:val="auto"/>
                <w:kern w:val="0"/>
                <w:sz w:val="24"/>
                <w:szCs w:val="24"/>
                <w:u w:val="none"/>
                <w:lang w:val="en-US" w:eastAsia="zh-CN" w:bidi="ar"/>
              </w:rPr>
              <w:t>，仅被授权人员（维护、检查和救援）可接近</w:t>
            </w:r>
            <w:r>
              <w:rPr>
                <w:rFonts w:hint="eastAsia" w:ascii="宋体" w:hAnsi="宋体" w:eastAsia="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c）由一个电气安全装置监测；</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复位仅在以下情况有效：</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a）电梯不在检修运行状态；</w:t>
            </w:r>
          </w:p>
        </w:tc>
        <w:tc>
          <w:tcPr>
            <w:tcW w:w="635"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636"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4" w:hRule="atLeast"/>
        </w:trPr>
        <w:tc>
          <w:tcPr>
            <w:tcW w:w="1242" w:type="dxa"/>
            <w:gridSpan w:val="2"/>
            <w:vAlign w:val="center"/>
          </w:tcPr>
          <w:p>
            <w:pPr>
              <w:keepNext w:val="0"/>
              <w:keepLines w:val="0"/>
              <w:widowControl/>
              <w:suppressLineNumbers w:val="0"/>
              <w:jc w:val="center"/>
              <w:textAlignment w:val="center"/>
            </w:pPr>
            <w:r>
              <w:rPr>
                <w:rFonts w:hint="eastAsia" w:ascii="宋体" w:hAnsi="宋体" w:eastAsia="宋体" w:cs="宋体"/>
                <w:i w:val="0"/>
                <w:color w:val="auto"/>
                <w:kern w:val="0"/>
                <w:sz w:val="24"/>
                <w:szCs w:val="24"/>
                <w:u w:val="none"/>
                <w:lang w:val="en-US" w:eastAsia="zh-CN" w:bidi="ar"/>
              </w:rPr>
              <w:t>项目</w:t>
            </w:r>
          </w:p>
        </w:tc>
        <w:tc>
          <w:tcPr>
            <w:tcW w:w="6429" w:type="dxa"/>
            <w:vAlign w:val="center"/>
          </w:tcPr>
          <w:p>
            <w:pPr>
              <w:keepNext w:val="0"/>
              <w:keepLines w:val="0"/>
              <w:widowControl/>
              <w:suppressLineNumbers w:val="0"/>
              <w:jc w:val="center"/>
              <w:textAlignment w:val="center"/>
            </w:pPr>
            <w:r>
              <w:rPr>
                <w:rFonts w:hint="eastAsia" w:ascii="宋体" w:hAnsi="宋体" w:cs="宋体"/>
                <w:i w:val="0"/>
                <w:color w:val="auto"/>
                <w:kern w:val="0"/>
                <w:sz w:val="24"/>
                <w:szCs w:val="24"/>
                <w:u w:val="none"/>
                <w:lang w:val="en-US" w:eastAsia="zh-CN" w:bidi="ar"/>
              </w:rPr>
              <w:t>自验</w:t>
            </w:r>
            <w:r>
              <w:rPr>
                <w:rFonts w:hint="eastAsia" w:ascii="宋体" w:hAnsi="宋体" w:eastAsia="宋体" w:cs="宋体"/>
                <w:i w:val="0"/>
                <w:color w:val="auto"/>
                <w:kern w:val="0"/>
                <w:sz w:val="24"/>
                <w:szCs w:val="24"/>
                <w:u w:val="none"/>
                <w:lang w:val="en-US" w:eastAsia="zh-CN" w:bidi="ar"/>
              </w:rPr>
              <w:t>内容与要求</w:t>
            </w:r>
          </w:p>
        </w:tc>
        <w:tc>
          <w:tcPr>
            <w:tcW w:w="635"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pPr>
            <w:r>
              <w:rPr>
                <w:rFonts w:hint="eastAsia"/>
                <w:b/>
                <w:sz w:val="18"/>
                <w:szCs w:val="18"/>
              </w:rPr>
              <w:t>结果</w:t>
            </w:r>
          </w:p>
        </w:tc>
        <w:tc>
          <w:tcPr>
            <w:tcW w:w="636"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2"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减小的底坑间</w:t>
            </w:r>
          </w:p>
          <w:p>
            <w:pPr>
              <w:keepNext w:val="0"/>
              <w:keepLines w:val="0"/>
              <w:widowControl/>
              <w:suppressLineNumbers w:val="0"/>
              <w:jc w:val="center"/>
              <w:textAlignment w:val="center"/>
            </w:pPr>
            <w:r>
              <w:rPr>
                <w:rFonts w:hint="eastAsia" w:ascii="宋体" w:hAnsi="宋体" w:cs="宋体"/>
                <w:i w:val="0"/>
                <w:color w:val="auto"/>
                <w:kern w:val="0"/>
                <w:sz w:val="24"/>
                <w:szCs w:val="24"/>
                <w:u w:val="none"/>
                <w:lang w:val="en-US" w:eastAsia="zh-CN" w:bidi="ar"/>
              </w:rPr>
              <w:t>距</w:t>
            </w:r>
          </w:p>
        </w:tc>
        <w:tc>
          <w:tcPr>
            <w:tcW w:w="65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5</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安全系统</w:t>
            </w:r>
          </w:p>
          <w:p>
            <w:pPr>
              <w:keepNext w:val="0"/>
              <w:keepLines w:val="0"/>
              <w:widowControl/>
              <w:suppressLineNumbers w:val="0"/>
              <w:ind w:firstLine="210" w:firstLineChars="100"/>
              <w:jc w:val="left"/>
              <w:textAlignment w:val="center"/>
            </w:pP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b）底坑和轿顶的停止装置不在“停止”位置；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c）任何进入井道的门或活板门是关闭的且被锁紧；</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d）可移动止停装置在未动作位置。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只能通过操作一个电气复位装置来实现安全系统的复位和电梯恢复到正常运行状态。</w:t>
            </w:r>
          </w:p>
          <w:p>
            <w:pPr>
              <w:keepNext w:val="0"/>
              <w:keepLines w:val="0"/>
              <w:widowControl/>
              <w:suppressLineNumbers w:val="0"/>
              <w:jc w:val="both"/>
              <w:textAlignment w:val="center"/>
            </w:pPr>
            <w:r>
              <w:rPr>
                <w:rFonts w:hint="eastAsia" w:ascii="宋体" w:hAnsi="宋体" w:eastAsia="宋体" w:cs="宋体"/>
                <w:i w:val="0"/>
                <w:color w:val="auto"/>
                <w:kern w:val="0"/>
                <w:sz w:val="24"/>
                <w:szCs w:val="24"/>
                <w:u w:val="none"/>
                <w:lang w:val="en-US" w:eastAsia="zh-CN" w:bidi="ar"/>
              </w:rPr>
              <w:t>电源故障不应导致安全系统复位。</w:t>
            </w:r>
          </w:p>
        </w:tc>
        <w:tc>
          <w:tcPr>
            <w:tcW w:w="635" w:type="dxa"/>
            <w:vAlign w:val="center"/>
          </w:tcPr>
          <w:p>
            <w:pPr>
              <w:keepNext w:val="0"/>
              <w:keepLines w:val="0"/>
              <w:widowControl/>
              <w:suppressLineNumbers w:val="0"/>
              <w:jc w:val="left"/>
              <w:textAlignment w:val="center"/>
            </w:pPr>
          </w:p>
        </w:tc>
        <w:tc>
          <w:tcPr>
            <w:tcW w:w="636" w:type="dxa"/>
            <w:vAlign w:val="center"/>
          </w:tcPr>
          <w:p>
            <w:pPr>
              <w:keepNext w:val="0"/>
              <w:keepLines w:val="0"/>
              <w:widowControl/>
              <w:suppressLineNumbers w:val="0"/>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591" w:type="dxa"/>
            <w:vMerge w:val="continue"/>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651" w:type="dxa"/>
            <w:vMerge w:val="continue"/>
            <w:vAlign w:val="center"/>
          </w:tcPr>
          <w:p>
            <w:pPr>
              <w:rPr>
                <w:rFonts w:hint="eastAsia" w:ascii="宋体" w:hAnsi="宋体" w:cs="宋体"/>
                <w:i w:val="0"/>
                <w:color w:val="auto"/>
                <w:sz w:val="24"/>
                <w:szCs w:val="24"/>
                <w:u w:val="none"/>
                <w:lang w:val="en-US" w:eastAsia="zh-CN"/>
              </w:rPr>
            </w:pP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（3）附加极限开关：</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检修运行状态下，在撞击可移动止停装置的缓冲部件之前，附加极限开关应中断轿厢向下的运动。该开关仅允许轿厢向上运行。</w:t>
            </w:r>
          </w:p>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轿厢在停止位置时，从底坑或井道外应能安全地对所有安装在轿厢底部的零部件进行检测、试验和维护。</w:t>
            </w:r>
          </w:p>
        </w:tc>
        <w:tc>
          <w:tcPr>
            <w:tcW w:w="635"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636"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591" w:type="dxa"/>
            <w:vMerge w:val="continue"/>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651" w:type="dxa"/>
            <w:vMerge w:val="continue"/>
            <w:vAlign w:val="center"/>
          </w:tcPr>
          <w:p>
            <w:pPr>
              <w:rPr>
                <w:rFonts w:hint="eastAsia" w:ascii="宋体" w:hAnsi="宋体" w:cs="宋体"/>
                <w:i w:val="0"/>
                <w:color w:val="auto"/>
                <w:sz w:val="24"/>
                <w:szCs w:val="24"/>
                <w:u w:val="none"/>
                <w:lang w:val="en-US" w:eastAsia="zh-CN"/>
              </w:rPr>
            </w:pPr>
          </w:p>
        </w:tc>
        <w:tc>
          <w:tcPr>
            <w:tcW w:w="642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（4）安全系统与可移动止停装置的动作组合：</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a)只有当可移动止停装置处在未动作且安全系统未动作时，电梯才能进行正常运行；</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b）只有安全系统动作，且当可移动止停装置处在动作位置时，电梯才能进行检修运行；</w:t>
            </w:r>
          </w:p>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c）当有安全系统动作且当可移动止停装置处在未动作位置时，电梯仅能进行向上方向的紧急电动运行。</w:t>
            </w:r>
          </w:p>
        </w:tc>
        <w:tc>
          <w:tcPr>
            <w:tcW w:w="635" w:type="dxa"/>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636" w:type="dxa"/>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8"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9.6</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视觉信号和/或听觉信号</w:t>
            </w:r>
          </w:p>
        </w:tc>
        <w:tc>
          <w:tcPr>
            <w:tcW w:w="6429" w:type="dxa"/>
            <w:vAlign w:val="center"/>
          </w:tcPr>
          <w:p>
            <w:pP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通过钥匙开启进入底坑的任何门或活板门时，应有视觉信号和/或听觉信号提示可移动止停装置处于动作位置或非动作位置</w:t>
            </w:r>
          </w:p>
        </w:tc>
        <w:tc>
          <w:tcPr>
            <w:tcW w:w="635" w:type="dxa"/>
            <w:vAlign w:val="center"/>
          </w:tcPr>
          <w:p>
            <w:pPr>
              <w:spacing w:line="280" w:lineRule="exact"/>
              <w:rPr>
                <w:rFonts w:hint="eastAsia" w:ascii="宋体" w:hAnsi="宋体" w:eastAsia="宋体" w:cs="宋体"/>
                <w:i w:val="0"/>
                <w:color w:val="auto"/>
                <w:sz w:val="24"/>
                <w:szCs w:val="24"/>
                <w:u w:val="none"/>
                <w:lang w:val="en-US" w:eastAsia="zh-CN"/>
              </w:rPr>
            </w:pPr>
          </w:p>
        </w:tc>
        <w:tc>
          <w:tcPr>
            <w:tcW w:w="636" w:type="dxa"/>
            <w:vAlign w:val="center"/>
          </w:tcPr>
          <w:p>
            <w:pPr>
              <w:spacing w:line="280" w:lineRule="exact"/>
              <w:rPr>
                <w:rFonts w:hint="eastAsia" w:ascii="宋体" w:hAnsi="宋体" w:eastAsia="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429" w:type="dxa"/>
            <w:vAlign w:val="center"/>
          </w:tcPr>
          <w:p>
            <w:pP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听觉信号可在可移动止停装置动作60s后关闭</w:t>
            </w:r>
          </w:p>
        </w:tc>
        <w:tc>
          <w:tcPr>
            <w:tcW w:w="635"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636"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9" w:hRule="atLeast"/>
        </w:trPr>
        <w:tc>
          <w:tcPr>
            <w:tcW w:w="591" w:type="dxa"/>
            <w:vMerge w:val="continue"/>
            <w:vAlign w:val="center"/>
          </w:tcPr>
          <w:p>
            <w:pPr>
              <w:jc w:val="center"/>
            </w:pP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8</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护脚板</w:t>
            </w:r>
          </w:p>
        </w:tc>
        <w:tc>
          <w:tcPr>
            <w:tcW w:w="6429" w:type="dxa"/>
            <w:vAlign w:val="top"/>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每一轿厢地坎上均应设置满足下列要求的可伸展的护脚板：</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kern w:val="0"/>
                <w:sz w:val="24"/>
                <w:szCs w:val="24"/>
                <w:u w:val="none"/>
                <w:lang w:val="en-US" w:eastAsia="zh-CN" w:bidi="ar"/>
              </w:rPr>
              <w:t>护脚板固定部件和活动部件的宽度应覆盖对应层站入口的整个净宽度；</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(2)</w:t>
            </w:r>
            <w:r>
              <w:rPr>
                <w:rFonts w:hint="eastAsia" w:ascii="宋体" w:hAnsi="宋体" w:eastAsia="宋体" w:cs="宋体"/>
                <w:i w:val="0"/>
                <w:color w:val="auto"/>
                <w:kern w:val="0"/>
                <w:sz w:val="24"/>
                <w:szCs w:val="24"/>
                <w:u w:val="none"/>
                <w:lang w:val="en-US" w:eastAsia="zh-CN" w:bidi="ar"/>
              </w:rPr>
              <w:t>伸展后的护脚板的垂直部分的高度不应小于0.75m。</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对于设置轿厢意外移动保护装置的曳引驱动电梯，只允许</w:t>
            </w:r>
            <w:r>
              <w:rPr>
                <w:rFonts w:hint="eastAsia" w:ascii="宋体" w:hAnsi="宋体" w:eastAsia="宋体" w:cs="宋体"/>
                <w:i w:val="0"/>
                <w:color w:val="auto"/>
                <w:kern w:val="0"/>
                <w:sz w:val="24"/>
                <w:szCs w:val="24"/>
                <w:u w:val="none"/>
                <w:lang w:val="en-US" w:eastAsia="zh-CN" w:bidi="ar"/>
              </w:rPr>
              <w:t>采用正常运行状态下伸展，轿厢达到最低位置时收回的护脚板</w:t>
            </w:r>
          </w:p>
        </w:tc>
        <w:tc>
          <w:tcPr>
            <w:tcW w:w="635"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p>
        </w:tc>
        <w:tc>
          <w:tcPr>
            <w:tcW w:w="636"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0"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429" w:type="dxa"/>
            <w:vAlign w:val="top"/>
          </w:tcPr>
          <w:p>
            <w:pPr>
              <w:keepNext w:val="0"/>
              <w:keepLines w:val="0"/>
              <w:widowControl/>
              <w:suppressLineNumbers w:val="0"/>
              <w:ind w:firstLine="480" w:firstLineChars="2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采用正常运行状态下收回，需要时可手动伸展的护脚板，应满足：</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sz w:val="24"/>
                <w:szCs w:val="24"/>
                <w:u w:val="none"/>
                <w:lang w:val="en-US" w:eastAsia="zh-CN"/>
              </w:rPr>
              <w:t>如果护脚板不在完全收回的位置，一个符合要求的电气安全装置应停止电梯的正常运行；</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(2)轿门应设置门锁装置；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(3)应提供一个从救援层站可获得的用于打开轿门锁的机械装置；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(4)护脚板应使用开锁三角形钥匙打开；</w:t>
            </w:r>
          </w:p>
          <w:p>
            <w:pPr>
              <w:keepNext w:val="0"/>
              <w:keepLines w:val="0"/>
              <w:widowControl/>
              <w:numPr>
                <w:ilvl w:val="0"/>
                <w:numId w:val="0"/>
              </w:numPr>
              <w:suppressLineNumbers w:val="0"/>
              <w:jc w:val="both"/>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(5)只有从最低层站、底坑地面或轿顶，才能通过适当的方法手动地将轿厢护脚板收回；</w:t>
            </w:r>
          </w:p>
        </w:tc>
        <w:tc>
          <w:tcPr>
            <w:tcW w:w="635"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636"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rPr>
        <w:tc>
          <w:tcPr>
            <w:tcW w:w="1242" w:type="dxa"/>
            <w:gridSpan w:val="2"/>
            <w:vAlign w:val="center"/>
          </w:tcPr>
          <w:p>
            <w:pPr>
              <w:keepNext w:val="0"/>
              <w:keepLines w:val="0"/>
              <w:widowControl/>
              <w:suppressLineNumbers w:val="0"/>
              <w:jc w:val="center"/>
              <w:textAlignment w:val="center"/>
            </w:pPr>
            <w:r>
              <w:rPr>
                <w:rFonts w:hint="eastAsia" w:ascii="宋体" w:hAnsi="宋体" w:eastAsia="宋体" w:cs="宋体"/>
                <w:i w:val="0"/>
                <w:color w:val="auto"/>
                <w:kern w:val="0"/>
                <w:sz w:val="24"/>
                <w:szCs w:val="24"/>
                <w:u w:val="none"/>
                <w:lang w:val="en-US" w:eastAsia="zh-CN" w:bidi="ar"/>
              </w:rPr>
              <w:t>项目</w:t>
            </w:r>
          </w:p>
        </w:tc>
        <w:tc>
          <w:tcPr>
            <w:tcW w:w="6429" w:type="dxa"/>
            <w:vAlign w:val="center"/>
          </w:tcPr>
          <w:p>
            <w:pPr>
              <w:keepNext w:val="0"/>
              <w:keepLines w:val="0"/>
              <w:widowControl/>
              <w:suppressLineNumbers w:val="0"/>
              <w:jc w:val="center"/>
              <w:textAlignment w:val="center"/>
            </w:pPr>
            <w:r>
              <w:rPr>
                <w:rFonts w:hint="eastAsia" w:ascii="宋体" w:hAnsi="宋体" w:cs="宋体"/>
                <w:i w:val="0"/>
                <w:color w:val="auto"/>
                <w:kern w:val="0"/>
                <w:sz w:val="24"/>
                <w:szCs w:val="24"/>
                <w:u w:val="none"/>
                <w:lang w:val="en-US" w:eastAsia="zh-CN" w:bidi="ar"/>
              </w:rPr>
              <w:t>自验</w:t>
            </w:r>
            <w:r>
              <w:rPr>
                <w:rFonts w:hint="eastAsia" w:ascii="宋体" w:hAnsi="宋体" w:eastAsia="宋体" w:cs="宋体"/>
                <w:i w:val="0"/>
                <w:color w:val="auto"/>
                <w:kern w:val="0"/>
                <w:sz w:val="24"/>
                <w:szCs w:val="24"/>
                <w:u w:val="none"/>
                <w:lang w:val="en-US" w:eastAsia="zh-CN" w:bidi="ar"/>
              </w:rPr>
              <w:t>内容与要求</w:t>
            </w:r>
          </w:p>
        </w:tc>
        <w:tc>
          <w:tcPr>
            <w:tcW w:w="635"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pPr>
            <w:r>
              <w:rPr>
                <w:rFonts w:hint="eastAsia"/>
                <w:b/>
                <w:sz w:val="18"/>
                <w:szCs w:val="18"/>
              </w:rPr>
              <w:t>结果</w:t>
            </w:r>
          </w:p>
        </w:tc>
        <w:tc>
          <w:tcPr>
            <w:tcW w:w="636"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35"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减小的底坑间</w:t>
            </w:r>
          </w:p>
          <w:p>
            <w:pPr>
              <w:keepNext w:val="0"/>
              <w:keepLines w:val="0"/>
              <w:widowControl/>
              <w:suppressLineNumbers w:val="0"/>
              <w:jc w:val="center"/>
              <w:textAlignment w:val="center"/>
            </w:pPr>
            <w:r>
              <w:rPr>
                <w:rFonts w:hint="eastAsia" w:ascii="宋体" w:hAnsi="宋体" w:cs="宋体"/>
                <w:i w:val="0"/>
                <w:color w:val="auto"/>
                <w:kern w:val="0"/>
                <w:sz w:val="24"/>
                <w:szCs w:val="24"/>
                <w:u w:val="none"/>
                <w:lang w:val="en-US" w:eastAsia="zh-CN" w:bidi="ar"/>
              </w:rPr>
              <w:t>距</w:t>
            </w: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8</w:t>
            </w:r>
          </w:p>
          <w:p>
            <w:pPr>
              <w:keepNext w:val="0"/>
              <w:keepLines w:val="0"/>
              <w:widowControl/>
              <w:suppressLineNumbers w:val="0"/>
              <w:jc w:val="center"/>
              <w:textAlignment w:val="center"/>
            </w:pPr>
            <w:r>
              <w:rPr>
                <w:rFonts w:hint="eastAsia" w:ascii="宋体" w:hAnsi="宋体" w:eastAsia="宋体" w:cs="宋体"/>
                <w:i w:val="0"/>
                <w:color w:val="auto"/>
                <w:kern w:val="0"/>
                <w:sz w:val="24"/>
                <w:szCs w:val="24"/>
                <w:u w:val="none"/>
                <w:lang w:val="en-US" w:eastAsia="zh-CN" w:bidi="ar"/>
              </w:rPr>
              <w:t>护脚板</w:t>
            </w:r>
          </w:p>
        </w:tc>
        <w:tc>
          <w:tcPr>
            <w:tcW w:w="6429" w:type="dxa"/>
            <w:vAlign w:val="top"/>
          </w:tcPr>
          <w:p>
            <w:pPr>
              <w:keepNext w:val="0"/>
              <w:keepLines w:val="0"/>
              <w:widowControl/>
              <w:numPr>
                <w:ilvl w:val="0"/>
                <w:numId w:val="1"/>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在没有收回的护脚板可能与底坑底面发生碰撞的区域，一个与运动方向有关的开关应能防止向下的检修运行和紧急电动运行。</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p>
        </w:tc>
        <w:tc>
          <w:tcPr>
            <w:tcW w:w="635" w:type="dxa"/>
            <w:vAlign w:val="center"/>
          </w:tcPr>
          <w:p>
            <w:pPr>
              <w:keepNext w:val="0"/>
              <w:keepLines w:val="0"/>
              <w:widowControl/>
              <w:suppressLineNumbers w:val="0"/>
              <w:jc w:val="both"/>
              <w:textAlignment w:val="center"/>
            </w:pPr>
          </w:p>
        </w:tc>
        <w:tc>
          <w:tcPr>
            <w:tcW w:w="636" w:type="dxa"/>
            <w:vAlign w:val="center"/>
          </w:tcPr>
          <w:p>
            <w:pPr>
              <w:keepNext w:val="0"/>
              <w:keepLines w:val="0"/>
              <w:widowControl/>
              <w:suppressLineNumbers w:val="0"/>
              <w:jc w:val="both"/>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2"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429" w:type="dxa"/>
            <w:vAlign w:val="top"/>
          </w:tcPr>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采用</w:t>
            </w:r>
            <w:r>
              <w:rPr>
                <w:rFonts w:hint="eastAsia" w:ascii="宋体" w:hAnsi="宋体" w:eastAsia="宋体" w:cs="宋体"/>
                <w:i w:val="0"/>
                <w:color w:val="auto"/>
                <w:sz w:val="24"/>
                <w:szCs w:val="24"/>
                <w:u w:val="none"/>
                <w:lang w:val="en-US" w:eastAsia="zh-CN"/>
              </w:rPr>
              <w:t>正常运行状态下收回，在任何层门被三角形钥匙打开时自动伸展至完全伸展位置的护脚板，应满足：</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sz w:val="24"/>
                <w:szCs w:val="24"/>
                <w:u w:val="none"/>
                <w:lang w:val="en-US" w:eastAsia="zh-CN"/>
              </w:rPr>
              <w:t>如果护脚板不在完全收回的位置，一个符合要求的电气安全装置应停止电梯的正常运行；</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(2)轿门应设置门锁装置；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(3)应提供一个从救援层站可获得的用于打开轿门锁的机械装置；</w:t>
            </w:r>
          </w:p>
          <w:p>
            <w:pPr>
              <w:keepNext w:val="0"/>
              <w:keepLines w:val="0"/>
              <w:widowControl/>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r>
              <w:rPr>
                <w:rFonts w:hint="eastAsia" w:ascii="宋体" w:hAnsi="宋体" w:eastAsia="宋体" w:cs="宋体"/>
                <w:i w:val="0"/>
                <w:color w:val="auto"/>
                <w:sz w:val="24"/>
                <w:szCs w:val="24"/>
                <w:u w:val="none"/>
                <w:lang w:val="en-US" w:eastAsia="zh-CN"/>
              </w:rPr>
              <w:t>在失电的情况下（断电或隔离），当轿厢位于完全压缩缓冲器的位置到最低层站地坎以上不大于1m的区域以外时，轿厢护脚板应能自动伸展到完全伸展的位置；</w:t>
            </w:r>
          </w:p>
          <w:p>
            <w:pPr>
              <w:keepNext w:val="0"/>
              <w:keepLines w:val="0"/>
              <w:widowControl/>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r>
              <w:rPr>
                <w:rFonts w:hint="eastAsia" w:ascii="宋体" w:hAnsi="宋体" w:eastAsia="宋体" w:cs="宋体"/>
                <w:i w:val="0"/>
                <w:color w:val="auto"/>
                <w:sz w:val="24"/>
                <w:szCs w:val="24"/>
                <w:u w:val="none"/>
                <w:lang w:val="en-US" w:eastAsia="zh-CN"/>
              </w:rPr>
              <w:t>在下列情况轿厢护脚板应能收回到完全收回的位置：</w:t>
            </w:r>
          </w:p>
          <w:p>
            <w:pPr>
              <w:keepNext w:val="0"/>
              <w:keepLines w:val="0"/>
              <w:widowControl/>
              <w:suppressLineNumbers w:val="0"/>
              <w:ind w:firstLine="240" w:firstLineChars="1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ⅰ）在层门关闭并锁住后自动进行；或</w:t>
            </w:r>
          </w:p>
          <w:p>
            <w:pPr>
              <w:keepNext w:val="0"/>
              <w:keepLines w:val="0"/>
              <w:widowControl/>
              <w:suppressLineNumbers w:val="0"/>
              <w:ind w:firstLine="240" w:firstLineChars="1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ⅱ）只有从最低层站、底坑地面或轿顶用适当的方法手动进行；</w:t>
            </w:r>
          </w:p>
          <w:p>
            <w:pPr>
              <w:keepNext w:val="0"/>
              <w:keepLines w:val="0"/>
              <w:widowControl/>
              <w:numPr>
                <w:ilvl w:val="0"/>
                <w:numId w:val="2"/>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在没有收回的护脚板可能与底坑底面发生碰撞的区域，一个与运动方向有关的开关应能防止向下的检修运行和紧急电动运行。</w:t>
            </w:r>
          </w:p>
          <w:p>
            <w:pPr>
              <w:keepNext w:val="0"/>
              <w:keepLines w:val="0"/>
              <w:widowControl/>
              <w:numPr>
                <w:ilvl w:val="0"/>
                <w:numId w:val="2"/>
              </w:numPr>
              <w:suppressLineNumbers w:val="0"/>
              <w:jc w:val="both"/>
              <w:textAlignment w:val="center"/>
              <w:rPr>
                <w:rFonts w:hint="eastAsia" w:ascii="宋体" w:hAnsi="宋体" w:eastAsia="宋体" w:cs="宋体"/>
                <w:i w:val="0"/>
                <w:color w:val="auto"/>
                <w:sz w:val="24"/>
                <w:szCs w:val="24"/>
                <w:u w:val="none"/>
                <w:lang w:val="en-US" w:eastAsia="zh-CN"/>
              </w:rPr>
            </w:pPr>
          </w:p>
        </w:tc>
        <w:tc>
          <w:tcPr>
            <w:tcW w:w="635"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636"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60"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429" w:type="dxa"/>
            <w:vAlign w:val="center"/>
          </w:tcPr>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采用正常运行状态下伸展，轿厢达到最低位置时收回的护脚板，应满足：</w:t>
            </w:r>
          </w:p>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当轿厢位于完全压缩缓冲器的位置到最低层站地坎以上不大于1m的区域以外时，如果护脚板不再完全伸展状态，应有电气安全装置停止电梯的正常运行。</w:t>
            </w:r>
          </w:p>
        </w:tc>
        <w:tc>
          <w:tcPr>
            <w:tcW w:w="635"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636"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2" w:hRule="atLeast"/>
        </w:trPr>
        <w:tc>
          <w:tcPr>
            <w:tcW w:w="591" w:type="dxa"/>
            <w:vMerge w:val="continue"/>
            <w:vAlign w:val="center"/>
          </w:tcPr>
          <w:p>
            <w:pPr>
              <w:jc w:val="center"/>
            </w:pP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9.9</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注意和警告</w:t>
            </w:r>
          </w:p>
        </w:tc>
        <w:tc>
          <w:tcPr>
            <w:tcW w:w="6429" w:type="dxa"/>
            <w:vAlign w:val="center"/>
          </w:tcPr>
          <w:p>
            <w:pP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减小的底部间距：</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应在下列位置设置“危险-减小的底部间距-注意有关说明”的安全须知：</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a)机器空间内的应急操作装置上；</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b)电梯复位装置上；</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c)在底坑。</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该安全须知可附加符合GB/T 28621-2012要求的警告标志</w:t>
            </w:r>
          </w:p>
          <w:p>
            <w:pPr>
              <w:rPr>
                <w:rFonts w:hint="eastAsia" w:ascii="宋体" w:hAnsi="宋体" w:cs="宋体"/>
                <w:i w:val="0"/>
                <w:color w:val="auto"/>
                <w:kern w:val="0"/>
                <w:sz w:val="24"/>
                <w:szCs w:val="24"/>
                <w:u w:val="none"/>
                <w:lang w:val="en-US" w:eastAsia="zh-CN" w:bidi="ar"/>
              </w:rPr>
            </w:pPr>
            <w:bookmarkStart w:id="0" w:name="_GoBack"/>
            <w:bookmarkEnd w:id="0"/>
          </w:p>
        </w:tc>
        <w:tc>
          <w:tcPr>
            <w:tcW w:w="635"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636"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2"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429" w:type="dxa"/>
            <w:vAlign w:val="center"/>
          </w:tcPr>
          <w:p>
            <w:pP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可伸展的轿厢护脚板：</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应在符合要求的机械装置上（或附近）或在或脚板固定部件上设置安全须知：“在救援被困人员前护脚板应完全伸展”。打开层门后，该安全须知在层站应清晰可见。</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该安全须知可附加符合GB/T 28621-2012要求的警告标志</w:t>
            </w:r>
          </w:p>
          <w:p>
            <w:pPr>
              <w:rPr>
                <w:rFonts w:hint="eastAsia" w:ascii="宋体" w:hAnsi="宋体" w:cs="宋体"/>
                <w:i w:val="0"/>
                <w:color w:val="auto"/>
                <w:kern w:val="0"/>
                <w:sz w:val="24"/>
                <w:szCs w:val="24"/>
                <w:u w:val="none"/>
                <w:lang w:val="en-US" w:eastAsia="zh-CN" w:bidi="ar"/>
              </w:rPr>
            </w:pPr>
          </w:p>
        </w:tc>
        <w:tc>
          <w:tcPr>
            <w:tcW w:w="635"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636"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2" w:hRule="atLeast"/>
        </w:trPr>
        <w:tc>
          <w:tcPr>
            <w:tcW w:w="1242" w:type="dxa"/>
            <w:gridSpan w:val="2"/>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w:t>
            </w:r>
          </w:p>
        </w:tc>
        <w:tc>
          <w:tcPr>
            <w:tcW w:w="6429" w:type="dxa"/>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自验</w:t>
            </w:r>
            <w:r>
              <w:rPr>
                <w:rFonts w:hint="eastAsia" w:ascii="宋体" w:hAnsi="宋体" w:eastAsia="宋体" w:cs="宋体"/>
                <w:i w:val="0"/>
                <w:color w:val="auto"/>
                <w:kern w:val="0"/>
                <w:sz w:val="24"/>
                <w:szCs w:val="24"/>
                <w:u w:val="none"/>
                <w:lang w:val="en-US" w:eastAsia="zh-CN" w:bidi="ar"/>
              </w:rPr>
              <w:t>内容与要求</w:t>
            </w:r>
          </w:p>
        </w:tc>
        <w:tc>
          <w:tcPr>
            <w:tcW w:w="635"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结果</w:t>
            </w:r>
          </w:p>
        </w:tc>
        <w:tc>
          <w:tcPr>
            <w:tcW w:w="636"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2" w:hRule="atLeast"/>
        </w:trPr>
        <w:tc>
          <w:tcPr>
            <w:tcW w:w="59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减小的底坑间</w:t>
            </w:r>
          </w:p>
          <w:p>
            <w:pPr>
              <w:jc w:val="center"/>
            </w:pPr>
            <w:r>
              <w:rPr>
                <w:rFonts w:hint="eastAsia" w:ascii="宋体" w:hAnsi="宋体" w:cs="宋体"/>
                <w:i w:val="0"/>
                <w:color w:val="auto"/>
                <w:kern w:val="0"/>
                <w:sz w:val="24"/>
                <w:szCs w:val="24"/>
                <w:u w:val="none"/>
                <w:lang w:val="en-US" w:eastAsia="zh-CN" w:bidi="ar"/>
              </w:rPr>
              <w:t>距</w:t>
            </w: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10</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可移动止停装置的</w:t>
            </w:r>
            <w:r>
              <w:rPr>
                <w:rFonts w:hint="eastAsia" w:ascii="宋体" w:hAnsi="宋体" w:cs="宋体"/>
                <w:i w:val="0"/>
                <w:color w:val="auto"/>
                <w:kern w:val="0"/>
                <w:sz w:val="24"/>
                <w:szCs w:val="24"/>
                <w:u w:val="none"/>
                <w:lang w:val="en-US" w:eastAsia="zh-CN" w:bidi="ar"/>
              </w:rPr>
              <w:t>动态</w:t>
            </w:r>
            <w:r>
              <w:rPr>
                <w:rFonts w:hint="eastAsia" w:ascii="宋体" w:hAnsi="宋体" w:eastAsia="宋体" w:cs="宋体"/>
                <w:i w:val="0"/>
                <w:color w:val="auto"/>
                <w:kern w:val="0"/>
                <w:sz w:val="24"/>
                <w:szCs w:val="24"/>
                <w:u w:val="none"/>
                <w:lang w:val="en-US" w:eastAsia="zh-CN" w:bidi="ar"/>
              </w:rPr>
              <w:t>试验</w:t>
            </w:r>
          </w:p>
        </w:tc>
        <w:tc>
          <w:tcPr>
            <w:tcW w:w="6429" w:type="dxa"/>
            <w:vAlign w:val="center"/>
          </w:tcPr>
          <w:p>
            <w:pPr>
              <w:ind w:firstLine="480" w:firstLineChars="200"/>
              <w:rPr>
                <w:rFonts w:hint="eastAsia" w:ascii="宋体" w:hAnsi="宋体" w:cs="宋体"/>
                <w:i w:val="0"/>
                <w:color w:val="auto"/>
                <w:sz w:val="24"/>
                <w:szCs w:val="24"/>
                <w:u w:val="none"/>
                <w:lang w:val="en-US" w:eastAsia="zh-CN"/>
              </w:rPr>
            </w:pPr>
            <w:r>
              <w:rPr>
                <w:rFonts w:hint="eastAsia" w:ascii="宋体" w:hAnsi="宋体" w:cs="宋体"/>
                <w:i w:val="0"/>
                <w:color w:val="auto"/>
                <w:kern w:val="0"/>
                <w:sz w:val="24"/>
                <w:szCs w:val="24"/>
                <w:u w:val="none"/>
                <w:lang w:val="en-US" w:eastAsia="zh-CN" w:bidi="ar"/>
              </w:rPr>
              <w:t>用装有额定载荷的轿厢在额定速度下进行动态试验，此过程中制动器应保持在打开状态，试验后不应出现对电梯正常使用造成不利影响的损坏。</w:t>
            </w:r>
          </w:p>
        </w:tc>
        <w:tc>
          <w:tcPr>
            <w:tcW w:w="635"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636"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bl>
    <w:p/>
    <w:sectPr>
      <w:pgSz w:w="11906" w:h="16838"/>
      <w:pgMar w:top="1440"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4A49C"/>
    <w:multiLevelType w:val="singleLevel"/>
    <w:tmpl w:val="A214A49C"/>
    <w:lvl w:ilvl="0" w:tentative="0">
      <w:start w:val="6"/>
      <w:numFmt w:val="decimal"/>
      <w:lvlText w:val="(%1)"/>
      <w:lvlJc w:val="left"/>
      <w:pPr>
        <w:tabs>
          <w:tab w:val="left" w:pos="312"/>
        </w:tabs>
      </w:pPr>
    </w:lvl>
  </w:abstractNum>
  <w:abstractNum w:abstractNumId="1">
    <w:nsid w:val="1B12502D"/>
    <w:multiLevelType w:val="singleLevel"/>
    <w:tmpl w:val="1B12502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305EF"/>
    <w:rsid w:val="0CBF545F"/>
    <w:rsid w:val="0EC31715"/>
    <w:rsid w:val="15927E4D"/>
    <w:rsid w:val="256305EF"/>
    <w:rsid w:val="33E6761B"/>
    <w:rsid w:val="5E5B50B5"/>
    <w:rsid w:val="6C037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2017-12-20T01:59:00Z</dcterms:created>
  <dc:creator>李树国</dc:creator>
  <cp:lastModifiedBy>李树国</cp:lastModifiedBy>
  <dcterms:modified xsi:type="dcterms:W3CDTF">2018-02-11T04:40:14Z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