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center"/>
        <w:textAlignment w:val="center"/>
        <w:rPr>
          <w:rFonts w:hint="eastAsia" w:ascii="宋体" w:hAnsi="宋体" w:eastAsia="宋体" w:cs="宋体"/>
          <w:b/>
          <w:bCs/>
          <w:i w:val="0"/>
          <w:color w:val="auto"/>
          <w:kern w:val="0"/>
          <w:sz w:val="28"/>
          <w:szCs w:val="28"/>
          <w:u w:val="none"/>
          <w:lang w:val="en-US" w:eastAsia="zh-CN"/>
        </w:rPr>
      </w:pPr>
      <w:r>
        <w:rPr>
          <w:rFonts w:hint="eastAsia" w:ascii="宋体" w:hAnsi="宋体" w:eastAsia="宋体" w:cs="宋体"/>
          <w:b/>
          <w:bCs/>
          <w:i w:val="0"/>
          <w:color w:val="auto"/>
          <w:kern w:val="0"/>
          <w:sz w:val="28"/>
          <w:szCs w:val="28"/>
          <w:u w:val="none"/>
          <w:lang w:val="en-US" w:eastAsia="zh-CN"/>
        </w:rPr>
        <w:t>“浅底坑”电梯</w:t>
      </w:r>
      <w:r>
        <w:rPr>
          <w:rFonts w:hint="eastAsia" w:ascii="宋体" w:hAnsi="宋体" w:cs="宋体"/>
          <w:b/>
          <w:bCs/>
          <w:i w:val="0"/>
          <w:color w:val="auto"/>
          <w:kern w:val="0"/>
          <w:sz w:val="28"/>
          <w:szCs w:val="28"/>
          <w:u w:val="none"/>
          <w:lang w:val="en-US" w:eastAsia="zh-CN"/>
        </w:rPr>
        <w:t>验收</w:t>
      </w:r>
      <w:r>
        <w:rPr>
          <w:rFonts w:hint="eastAsia" w:ascii="宋体" w:hAnsi="宋体" w:eastAsia="宋体" w:cs="宋体"/>
          <w:b/>
          <w:bCs/>
          <w:i w:val="0"/>
          <w:color w:val="auto"/>
          <w:kern w:val="0"/>
          <w:sz w:val="28"/>
          <w:szCs w:val="28"/>
          <w:u w:val="none"/>
          <w:lang w:val="en-US" w:eastAsia="zh-CN"/>
        </w:rPr>
        <w:t>检验</w:t>
      </w:r>
      <w:r>
        <w:rPr>
          <w:rFonts w:hint="eastAsia" w:ascii="宋体" w:hAnsi="宋体" w:cs="宋体"/>
          <w:b/>
          <w:bCs/>
          <w:i w:val="0"/>
          <w:color w:val="auto"/>
          <w:kern w:val="0"/>
          <w:sz w:val="28"/>
          <w:szCs w:val="28"/>
          <w:u w:val="none"/>
          <w:lang w:val="en-US" w:eastAsia="zh-CN"/>
        </w:rPr>
        <w:t>自检报告</w:t>
      </w:r>
      <w:r>
        <w:rPr>
          <w:rFonts w:hint="eastAsia" w:ascii="宋体" w:hAnsi="宋体" w:eastAsia="宋体" w:cs="宋体"/>
          <w:b/>
          <w:bCs/>
          <w:i w:val="0"/>
          <w:color w:val="auto"/>
          <w:kern w:val="0"/>
          <w:sz w:val="28"/>
          <w:szCs w:val="28"/>
          <w:u w:val="none"/>
          <w:lang w:val="en-US" w:eastAsia="zh-CN"/>
        </w:rPr>
        <w:t>附加页</w:t>
      </w:r>
    </w:p>
    <w:p>
      <w:pPr>
        <w:keepNext w:val="0"/>
        <w:keepLines w:val="0"/>
        <w:widowControl/>
        <w:suppressLineNumbers w:val="0"/>
        <w:ind w:firstLine="420" w:firstLineChars="200"/>
        <w:jc w:val="left"/>
        <w:textAlignment w:val="center"/>
        <w:rPr>
          <w:rFonts w:hint="eastAsia" w:ascii="宋体" w:hAnsi="宋体" w:eastAsia="宋体" w:cs="宋体"/>
          <w:i w:val="0"/>
          <w:color w:val="auto"/>
          <w:kern w:val="0"/>
          <w:sz w:val="21"/>
          <w:szCs w:val="21"/>
          <w:u w:val="none"/>
          <w:lang w:val="en-US" w:eastAsia="zh-CN" w:bidi="ar"/>
        </w:rPr>
      </w:pPr>
    </w:p>
    <w:tbl>
      <w:tblPr>
        <w:tblStyle w:val="5"/>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1"/>
        <w:gridCol w:w="651"/>
        <w:gridCol w:w="6579"/>
        <w:gridCol w:w="560"/>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0" w:hRule="atLeast"/>
        </w:trPr>
        <w:tc>
          <w:tcPr>
            <w:tcW w:w="1242" w:type="dxa"/>
            <w:gridSpan w:val="2"/>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项目及类别</w:t>
            </w:r>
          </w:p>
        </w:tc>
        <w:tc>
          <w:tcPr>
            <w:tcW w:w="6579" w:type="dxa"/>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检验</w:t>
            </w:r>
            <w:r>
              <w:rPr>
                <w:rFonts w:hint="eastAsia" w:ascii="宋体" w:hAnsi="宋体" w:eastAsia="宋体" w:cs="宋体"/>
                <w:i w:val="0"/>
                <w:color w:val="auto"/>
                <w:kern w:val="0"/>
                <w:sz w:val="24"/>
                <w:szCs w:val="24"/>
                <w:u w:val="none"/>
                <w:lang w:val="en-US" w:eastAsia="zh-CN" w:bidi="ar"/>
              </w:rPr>
              <w:t>内容与要求</w:t>
            </w:r>
          </w:p>
        </w:tc>
        <w:tc>
          <w:tcPr>
            <w:tcW w:w="560" w:type="dxa"/>
            <w:vAlign w:val="center"/>
          </w:tcPr>
          <w:p>
            <w:pPr>
              <w:keepNext w:val="0"/>
              <w:keepLines w:val="0"/>
              <w:widowControl/>
              <w:suppressLineNumbers w:val="0"/>
              <w:jc w:val="center"/>
              <w:textAlignment w:val="center"/>
              <w:rPr>
                <w:rFonts w:hint="eastAsia"/>
                <w:b/>
                <w:sz w:val="18"/>
                <w:szCs w:val="18"/>
              </w:rPr>
            </w:pPr>
            <w:r>
              <w:rPr>
                <w:rFonts w:hint="eastAsia"/>
                <w:b/>
                <w:sz w:val="18"/>
                <w:szCs w:val="18"/>
              </w:rPr>
              <w:t>自检</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b/>
                <w:sz w:val="18"/>
                <w:szCs w:val="18"/>
              </w:rPr>
              <w:t>结果</w:t>
            </w:r>
          </w:p>
        </w:tc>
        <w:tc>
          <w:tcPr>
            <w:tcW w:w="561" w:type="dxa"/>
            <w:vAlign w:val="center"/>
          </w:tcPr>
          <w:p>
            <w:pPr>
              <w:keepNext w:val="0"/>
              <w:keepLines w:val="0"/>
              <w:widowControl/>
              <w:suppressLineNumbers w:val="0"/>
              <w:jc w:val="center"/>
              <w:textAlignment w:val="center"/>
              <w:rPr>
                <w:rFonts w:hint="eastAsia"/>
                <w:b/>
                <w:sz w:val="18"/>
                <w:szCs w:val="18"/>
              </w:rPr>
            </w:pPr>
            <w:r>
              <w:rPr>
                <w:rFonts w:hint="eastAsia"/>
                <w:b/>
                <w:sz w:val="18"/>
                <w:szCs w:val="18"/>
              </w:rPr>
              <w:t>自检</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b/>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91" w:type="dxa"/>
            <w:vMerge w:val="restart"/>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减小的底坑间距</w:t>
            </w:r>
          </w:p>
        </w:tc>
        <w:tc>
          <w:tcPr>
            <w:tcW w:w="65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9.1</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资料</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6579"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sz w:val="24"/>
                <w:szCs w:val="24"/>
                <w:u w:val="none"/>
                <w:lang w:val="en-US" w:eastAsia="zh-CN"/>
              </w:rPr>
              <w:t>(1)</w:t>
            </w:r>
            <w:r>
              <w:rPr>
                <w:rFonts w:hint="eastAsia" w:ascii="宋体" w:hAnsi="宋体" w:cs="宋体"/>
                <w:i w:val="0"/>
                <w:color w:val="auto"/>
                <w:kern w:val="0"/>
                <w:sz w:val="24"/>
                <w:szCs w:val="24"/>
                <w:u w:val="none"/>
                <w:lang w:val="en-US" w:eastAsia="zh-CN" w:bidi="ar"/>
              </w:rPr>
              <w:t>可移动止停装置、可伸缩护脚板和安全系统</w:t>
            </w:r>
            <w:r>
              <w:rPr>
                <w:rFonts w:hint="eastAsia" w:ascii="宋体" w:hAnsi="宋体" w:eastAsia="宋体" w:cs="宋体"/>
                <w:i w:val="0"/>
                <w:color w:val="auto"/>
                <w:kern w:val="0"/>
                <w:sz w:val="24"/>
                <w:szCs w:val="24"/>
                <w:u w:val="none"/>
                <w:lang w:val="en-US" w:eastAsia="zh-CN" w:bidi="ar"/>
              </w:rPr>
              <w:t>应委托型式试验机构按</w:t>
            </w:r>
            <w:r>
              <w:rPr>
                <w:rFonts w:hint="eastAsia" w:ascii="宋体" w:hAnsi="宋体" w:cs="宋体"/>
                <w:i w:val="0"/>
                <w:color w:val="auto"/>
                <w:kern w:val="0"/>
                <w:sz w:val="24"/>
                <w:szCs w:val="24"/>
                <w:u w:val="none"/>
                <w:lang w:val="en-US" w:eastAsia="zh-CN" w:bidi="ar"/>
              </w:rPr>
              <w:t>相关标准</w:t>
            </w:r>
            <w:r>
              <w:rPr>
                <w:rFonts w:hint="eastAsia" w:ascii="宋体" w:hAnsi="宋体" w:eastAsia="宋体" w:cs="宋体"/>
                <w:i w:val="0"/>
                <w:color w:val="auto"/>
                <w:kern w:val="0"/>
                <w:sz w:val="24"/>
                <w:szCs w:val="24"/>
                <w:u w:val="none"/>
                <w:lang w:val="en-US" w:eastAsia="zh-CN" w:bidi="ar"/>
              </w:rPr>
              <w:t>要求检验、试验合格，并有检验报告</w:t>
            </w:r>
            <w:r>
              <w:rPr>
                <w:rFonts w:hint="eastAsia" w:ascii="宋体" w:hAnsi="宋体" w:cs="宋体"/>
                <w:i w:val="0"/>
                <w:color w:val="auto"/>
                <w:kern w:val="0"/>
                <w:sz w:val="24"/>
                <w:szCs w:val="24"/>
                <w:u w:val="none"/>
                <w:lang w:val="en-US" w:eastAsia="zh-CN" w:bidi="ar"/>
              </w:rPr>
              <w:t>；</w:t>
            </w:r>
          </w:p>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sz w:val="24"/>
                <w:szCs w:val="24"/>
                <w:u w:val="none"/>
                <w:lang w:val="en-US" w:eastAsia="zh-CN"/>
              </w:rPr>
              <w:t>(2)</w:t>
            </w:r>
            <w:r>
              <w:rPr>
                <w:rFonts w:hint="eastAsia" w:ascii="宋体" w:hAnsi="宋体" w:cs="宋体"/>
                <w:i w:val="0"/>
                <w:color w:val="auto"/>
                <w:kern w:val="0"/>
                <w:sz w:val="24"/>
                <w:szCs w:val="24"/>
                <w:u w:val="none"/>
                <w:lang w:val="en-US" w:eastAsia="zh-CN" w:bidi="ar"/>
              </w:rPr>
              <w:t>电气原理图；</w:t>
            </w:r>
          </w:p>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sz w:val="24"/>
                <w:szCs w:val="24"/>
                <w:u w:val="none"/>
                <w:lang w:val="en-US" w:eastAsia="zh-CN"/>
              </w:rPr>
              <w:t>(3)</w:t>
            </w:r>
            <w:r>
              <w:rPr>
                <w:rFonts w:hint="eastAsia" w:ascii="宋体" w:hAnsi="宋体" w:cs="宋体"/>
                <w:i w:val="0"/>
                <w:color w:val="auto"/>
                <w:kern w:val="0"/>
                <w:sz w:val="24"/>
                <w:szCs w:val="24"/>
                <w:u w:val="none"/>
                <w:lang w:val="en-US" w:eastAsia="zh-CN" w:bidi="ar"/>
              </w:rPr>
              <w:t>安装使用维护</w:t>
            </w:r>
            <w:r>
              <w:rPr>
                <w:rFonts w:hint="eastAsia" w:ascii="宋体" w:hAnsi="宋体" w:eastAsia="宋体" w:cs="宋体"/>
                <w:i w:val="0"/>
                <w:color w:val="auto"/>
                <w:kern w:val="0"/>
                <w:sz w:val="24"/>
                <w:szCs w:val="24"/>
                <w:u w:val="none"/>
                <w:lang w:val="en-US" w:eastAsia="zh-CN" w:bidi="ar"/>
              </w:rPr>
              <w:t>说明</w:t>
            </w:r>
            <w:r>
              <w:rPr>
                <w:rFonts w:hint="eastAsia" w:ascii="宋体" w:hAnsi="宋体" w:cs="宋体"/>
                <w:i w:val="0"/>
                <w:color w:val="auto"/>
                <w:kern w:val="0"/>
                <w:sz w:val="24"/>
                <w:szCs w:val="24"/>
                <w:u w:val="none"/>
                <w:lang w:val="en-US" w:eastAsia="zh-CN" w:bidi="ar"/>
              </w:rPr>
              <w:t>书，包括安装、使用、日常维护保养和应急救援等方面操作说明的内容；</w:t>
            </w:r>
          </w:p>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sz w:val="24"/>
                <w:szCs w:val="24"/>
                <w:u w:val="none"/>
                <w:lang w:val="en-US" w:eastAsia="zh-CN"/>
              </w:rPr>
              <w:t>(4)</w:t>
            </w:r>
            <w:r>
              <w:rPr>
                <w:rFonts w:hint="eastAsia" w:ascii="宋体" w:hAnsi="宋体" w:eastAsia="宋体" w:cs="宋体"/>
                <w:i w:val="0"/>
                <w:color w:val="auto"/>
                <w:kern w:val="0"/>
                <w:sz w:val="24"/>
                <w:szCs w:val="24"/>
                <w:u w:val="none"/>
                <w:lang w:val="en-US" w:eastAsia="zh-CN" w:bidi="ar"/>
              </w:rPr>
              <w:t>补充平面图</w:t>
            </w:r>
            <w:r>
              <w:rPr>
                <w:rFonts w:hint="eastAsia" w:ascii="宋体" w:hAnsi="宋体" w:cs="宋体"/>
                <w:i w:val="0"/>
                <w:color w:val="auto"/>
                <w:kern w:val="0"/>
                <w:sz w:val="24"/>
                <w:szCs w:val="24"/>
                <w:u w:val="none"/>
                <w:lang w:val="en-US" w:eastAsia="zh-CN" w:bidi="ar"/>
              </w:rPr>
              <w:t>；</w:t>
            </w:r>
          </w:p>
          <w:p>
            <w:pPr>
              <w:keepNext w:val="0"/>
              <w:keepLines w:val="0"/>
              <w:widowControl/>
              <w:suppressLineNumbers w:val="0"/>
              <w:jc w:val="both"/>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sz w:val="24"/>
                <w:szCs w:val="24"/>
                <w:u w:val="none"/>
                <w:lang w:val="en-US" w:eastAsia="zh-CN"/>
              </w:rPr>
              <w:t>(5)</w:t>
            </w:r>
            <w:r>
              <w:rPr>
                <w:rFonts w:hint="eastAsia" w:ascii="宋体" w:hAnsi="宋体" w:cs="宋体"/>
                <w:i w:val="0"/>
                <w:color w:val="auto"/>
                <w:kern w:val="0"/>
                <w:sz w:val="24"/>
                <w:szCs w:val="24"/>
                <w:u w:val="none"/>
                <w:lang w:val="en-US" w:eastAsia="zh-CN" w:bidi="ar"/>
              </w:rPr>
              <w:t>如果底坑地面下存在管线等设施，应经相关行业主管部门评估认可。</w:t>
            </w:r>
          </w:p>
          <w:p>
            <w:pPr>
              <w:keepNext w:val="0"/>
              <w:keepLines w:val="0"/>
              <w:widowControl/>
              <w:suppressLineNumbers w:val="0"/>
              <w:jc w:val="both"/>
              <w:textAlignment w:val="center"/>
              <w:rPr>
                <w:rFonts w:hint="eastAsia" w:ascii="宋体" w:hAnsi="宋体" w:cs="宋体"/>
                <w:i w:val="0"/>
                <w:color w:val="auto"/>
                <w:kern w:val="0"/>
                <w:sz w:val="24"/>
                <w:szCs w:val="24"/>
                <w:u w:val="none"/>
                <w:lang w:val="en-US" w:eastAsia="zh-CN" w:bidi="ar"/>
              </w:rPr>
            </w:pPr>
          </w:p>
        </w:tc>
        <w:tc>
          <w:tcPr>
            <w:tcW w:w="560" w:type="dxa"/>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p>
        </w:tc>
        <w:tc>
          <w:tcPr>
            <w:tcW w:w="561" w:type="dxa"/>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91" w:type="dxa"/>
            <w:vMerge w:val="continue"/>
            <w:vAlign w:val="center"/>
          </w:tcPr>
          <w:p>
            <w:pPr>
              <w:jc w:val="center"/>
              <w:rPr>
                <w:rFonts w:hint="eastAsia" w:ascii="宋体" w:hAnsi="宋体" w:eastAsia="宋体" w:cs="宋体"/>
                <w:i w:val="0"/>
                <w:color w:val="auto"/>
                <w:sz w:val="24"/>
                <w:szCs w:val="24"/>
                <w:u w:val="none"/>
              </w:rPr>
            </w:pPr>
          </w:p>
        </w:tc>
        <w:tc>
          <w:tcPr>
            <w:tcW w:w="65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r>
              <w:rPr>
                <w:rFonts w:hint="eastAsia" w:ascii="宋体" w:hAnsi="宋体" w:cs="宋体"/>
                <w:i w:val="0"/>
                <w:color w:val="auto"/>
                <w:kern w:val="0"/>
                <w:sz w:val="24"/>
                <w:szCs w:val="24"/>
                <w:u w:val="none"/>
                <w:lang w:val="en-US" w:eastAsia="zh-CN" w:bidi="ar"/>
              </w:rPr>
              <w:t>2</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可移动止停装置</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6579"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电梯应设置保证底坑空间的可移动止停装置；</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r>
              <w:rPr>
                <w:rStyle w:val="6"/>
                <w:color w:val="auto"/>
                <w:lang w:val="en-US" w:eastAsia="zh-CN" w:bidi="ar"/>
              </w:rPr>
              <w:t>可移动止停装置应安装在底坑并机械地制停轿厢；</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r>
              <w:rPr>
                <w:rStyle w:val="6"/>
                <w:color w:val="auto"/>
                <w:lang w:val="en-US" w:eastAsia="zh-CN" w:bidi="ar"/>
              </w:rPr>
              <w:t>可移动止停装置应最迟在安全系统动作时自动地操作；或手动操作</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r>
              <w:rPr>
                <w:rStyle w:val="6"/>
                <w:color w:val="auto"/>
                <w:lang w:val="en-US" w:eastAsia="zh-CN" w:bidi="ar"/>
              </w:rPr>
              <w:t>电源故障情况下：</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a)自动操作的可移动止停装置应动作，至少在电源恢复前保持在动作状态；</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b)对于手动操作的可移动止停装置，保持轿厢停止的机械安全装置应动作，至少在电源恢复前保持在动作状态。</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r>
              <w:rPr>
                <w:rStyle w:val="6"/>
                <w:color w:val="auto"/>
                <w:lang w:val="en-US" w:eastAsia="zh-CN" w:bidi="ar"/>
              </w:rPr>
              <w:t>应为可移动止停装置设置符合要求的电气安全装置以监测其：</w:t>
            </w:r>
            <w:r>
              <w:rPr>
                <w:rFonts w:hint="eastAsia" w:ascii="宋体" w:hAnsi="宋体" w:eastAsia="宋体" w:cs="宋体"/>
                <w:i w:val="0"/>
                <w:color w:val="auto"/>
                <w:kern w:val="0"/>
                <w:sz w:val="24"/>
                <w:szCs w:val="24"/>
                <w:u w:val="none"/>
                <w:lang w:val="en-US" w:eastAsia="zh-CN" w:bidi="ar"/>
              </w:rPr>
              <w:t xml:space="preserve">a)完全伸展（动作）位置；和                                          </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b)完全收回（未动作）位置。</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自动操作的可移动止停装置应设计成：防止其在完全收回位置和完全伸展位置之间移动时因任何撞击而造成的损坏</w:t>
            </w:r>
            <w:r>
              <w:rPr>
                <w:rFonts w:hint="eastAsia" w:ascii="宋体" w:hAnsi="宋体" w:cs="宋体"/>
                <w:i w:val="0"/>
                <w:color w:val="auto"/>
                <w:kern w:val="0"/>
                <w:sz w:val="24"/>
                <w:szCs w:val="24"/>
                <w:u w:val="none"/>
                <w:lang w:val="en-US" w:eastAsia="zh-CN" w:bidi="ar"/>
              </w:rPr>
              <w:t>；</w:t>
            </w:r>
          </w:p>
          <w:p>
            <w:pPr>
              <w:keepNext w:val="0"/>
              <w:keepLines w:val="0"/>
              <w:widowControl/>
              <w:numPr>
                <w:ilvl w:val="0"/>
                <w:numId w:val="1"/>
              </w:numPr>
              <w:suppressLineNumbers w:val="0"/>
              <w:jc w:val="both"/>
              <w:textAlignment w:val="center"/>
              <w:rPr>
                <w:rStyle w:val="6"/>
                <w:color w:val="auto"/>
                <w:lang w:val="en-US" w:eastAsia="zh-CN" w:bidi="ar"/>
              </w:rPr>
            </w:pPr>
            <w:r>
              <w:rPr>
                <w:rStyle w:val="6"/>
                <w:color w:val="auto"/>
                <w:lang w:val="en-US" w:eastAsia="zh-CN" w:bidi="ar"/>
              </w:rPr>
              <w:t>手动操作可移动止停装置时，如果可移动止停装置不在动作位置，机械安全装置应通过安全系统操作，以防止轿厢在下行方向上的任何移动</w:t>
            </w:r>
          </w:p>
          <w:p>
            <w:pPr>
              <w:keepNext w:val="0"/>
              <w:keepLines w:val="0"/>
              <w:widowControl/>
              <w:numPr>
                <w:ilvl w:val="0"/>
                <w:numId w:val="1"/>
              </w:numPr>
              <w:suppressLineNumbers w:val="0"/>
              <w:jc w:val="both"/>
              <w:textAlignment w:val="center"/>
              <w:rPr>
                <w:rStyle w:val="6"/>
                <w:rFonts w:hint="eastAsia"/>
                <w:color w:val="auto"/>
                <w:lang w:val="en-US" w:eastAsia="zh-CN" w:bidi="ar"/>
              </w:rPr>
            </w:pPr>
          </w:p>
        </w:tc>
        <w:tc>
          <w:tcPr>
            <w:tcW w:w="560" w:type="dxa"/>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p>
        </w:tc>
        <w:tc>
          <w:tcPr>
            <w:tcW w:w="561" w:type="dxa"/>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12" w:hRule="atLeast"/>
        </w:trPr>
        <w:tc>
          <w:tcPr>
            <w:tcW w:w="591" w:type="dxa"/>
            <w:vMerge w:val="continue"/>
            <w:vAlign w:val="center"/>
          </w:tcPr>
          <w:p>
            <w:pPr>
              <w:jc w:val="center"/>
              <w:rPr>
                <w:rFonts w:hint="eastAsia" w:ascii="宋体" w:hAnsi="宋体" w:eastAsia="宋体" w:cs="宋体"/>
                <w:i w:val="0"/>
                <w:color w:val="auto"/>
                <w:sz w:val="24"/>
                <w:szCs w:val="24"/>
                <w:u w:val="none"/>
              </w:rPr>
            </w:pPr>
          </w:p>
        </w:tc>
        <w:tc>
          <w:tcPr>
            <w:tcW w:w="65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r>
              <w:rPr>
                <w:rFonts w:hint="eastAsia" w:ascii="宋体" w:hAnsi="宋体" w:cs="宋体"/>
                <w:i w:val="0"/>
                <w:color w:val="auto"/>
                <w:kern w:val="0"/>
                <w:sz w:val="24"/>
                <w:szCs w:val="24"/>
                <w:u w:val="none"/>
                <w:lang w:val="en-US" w:eastAsia="zh-CN" w:bidi="ar"/>
              </w:rPr>
              <w:t>3</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可移动止停装置的缓冲器</w:t>
            </w:r>
          </w:p>
        </w:tc>
        <w:tc>
          <w:tcPr>
            <w:tcW w:w="6579" w:type="dxa"/>
            <w:vAlign w:val="center"/>
          </w:tcPr>
          <w:p>
            <w:pPr>
              <w:keepNext w:val="0"/>
              <w:keepLines w:val="0"/>
              <w:widowControl/>
              <w:suppressLineNumbers w:val="0"/>
              <w:jc w:val="left"/>
              <w:textAlignment w:val="center"/>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可移动止停装置应当设置缓冲器，并满足3.15(1)、3.15(2)、3.15(3)和3.15(4)的</w:t>
            </w:r>
            <w:r>
              <w:rPr>
                <w:rFonts w:hint="eastAsia" w:ascii="宋体" w:hAnsi="宋体" w:cs="宋体"/>
                <w:i w:val="0"/>
                <w:color w:val="auto"/>
                <w:kern w:val="0"/>
                <w:sz w:val="24"/>
                <w:szCs w:val="24"/>
                <w:u w:val="none"/>
                <w:lang w:val="en-US" w:eastAsia="zh-CN" w:bidi="ar"/>
              </w:rPr>
              <w:t>检验</w:t>
            </w:r>
            <w:r>
              <w:rPr>
                <w:rFonts w:hint="eastAsia" w:ascii="宋体" w:hAnsi="宋体" w:eastAsia="宋体" w:cs="宋体"/>
                <w:i w:val="0"/>
                <w:color w:val="auto"/>
                <w:kern w:val="0"/>
                <w:sz w:val="24"/>
                <w:szCs w:val="24"/>
                <w:u w:val="none"/>
                <w:lang w:val="en-US" w:eastAsia="zh-CN" w:bidi="ar"/>
              </w:rPr>
              <w:t>内容与要求</w:t>
            </w:r>
          </w:p>
          <w:p>
            <w:pPr>
              <w:keepNext w:val="0"/>
              <w:keepLines w:val="0"/>
              <w:widowControl/>
              <w:suppressLineNumbers w:val="0"/>
              <w:jc w:val="left"/>
              <w:textAlignment w:val="center"/>
              <w:rPr>
                <w:rFonts w:hint="eastAsia" w:ascii="宋体" w:hAnsi="宋体" w:eastAsia="宋体" w:cs="宋体"/>
                <w:i w:val="0"/>
                <w:color w:val="auto"/>
                <w:sz w:val="24"/>
                <w:szCs w:val="24"/>
                <w:u w:val="none"/>
              </w:rPr>
            </w:pPr>
          </w:p>
        </w:tc>
        <w:tc>
          <w:tcPr>
            <w:tcW w:w="560" w:type="dxa"/>
            <w:vAlign w:val="center"/>
          </w:tcPr>
          <w:p>
            <w:pPr>
              <w:keepNext w:val="0"/>
              <w:keepLines w:val="0"/>
              <w:widowControl/>
              <w:suppressLineNumbers w:val="0"/>
              <w:jc w:val="left"/>
              <w:textAlignment w:val="center"/>
              <w:rPr>
                <w:rFonts w:hint="eastAsia" w:ascii="宋体" w:hAnsi="宋体" w:cs="宋体"/>
                <w:i w:val="0"/>
                <w:color w:val="auto"/>
                <w:sz w:val="24"/>
                <w:szCs w:val="24"/>
                <w:u w:val="none"/>
                <w:lang w:val="en-US" w:eastAsia="zh-CN"/>
              </w:rPr>
            </w:pPr>
          </w:p>
        </w:tc>
        <w:tc>
          <w:tcPr>
            <w:tcW w:w="561" w:type="dxa"/>
            <w:vAlign w:val="center"/>
          </w:tcPr>
          <w:p>
            <w:pPr>
              <w:keepNext w:val="0"/>
              <w:keepLines w:val="0"/>
              <w:widowControl/>
              <w:suppressLineNumbers w:val="0"/>
              <w:jc w:val="left"/>
              <w:textAlignment w:val="center"/>
              <w:rPr>
                <w:rFonts w:hint="eastAsia" w:ascii="宋体" w:hAnsi="宋体" w:cs="宋体"/>
                <w:i w:val="0"/>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57" w:hRule="atLeast"/>
        </w:trPr>
        <w:tc>
          <w:tcPr>
            <w:tcW w:w="591" w:type="dxa"/>
            <w:vMerge w:val="continue"/>
            <w:vAlign w:val="center"/>
          </w:tcPr>
          <w:p>
            <w:pPr>
              <w:jc w:val="center"/>
              <w:rPr>
                <w:rFonts w:hint="eastAsia" w:ascii="宋体" w:hAnsi="宋体" w:eastAsia="宋体" w:cs="宋体"/>
                <w:i w:val="0"/>
                <w:color w:val="auto"/>
                <w:sz w:val="24"/>
                <w:szCs w:val="24"/>
                <w:u w:val="none"/>
              </w:rPr>
            </w:pPr>
          </w:p>
        </w:tc>
        <w:tc>
          <w:tcPr>
            <w:tcW w:w="65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r>
              <w:rPr>
                <w:rFonts w:hint="eastAsia" w:ascii="宋体" w:hAnsi="宋体" w:cs="宋体"/>
                <w:i w:val="0"/>
                <w:color w:val="auto"/>
                <w:kern w:val="0"/>
                <w:sz w:val="24"/>
                <w:szCs w:val="24"/>
                <w:u w:val="none"/>
                <w:lang w:val="en-US" w:eastAsia="zh-CN" w:bidi="ar"/>
              </w:rPr>
              <w:t>4</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底坑净空间</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6579" w:type="dxa"/>
            <w:vAlign w:val="center"/>
          </w:tcPr>
          <w:p>
            <w:pPr>
              <w:pStyle w:val="2"/>
              <w:numPr>
                <w:ilvl w:val="0"/>
                <w:numId w:val="0"/>
              </w:numPr>
              <w:spacing w:line="24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轿厢完全压在</w:t>
            </w:r>
            <w:r>
              <w:rPr>
                <w:rFonts w:hint="eastAsia" w:ascii="宋体" w:hAnsi="宋体" w:eastAsia="宋体" w:cs="宋体"/>
                <w:color w:val="auto"/>
                <w:sz w:val="24"/>
                <w:szCs w:val="24"/>
                <w:lang w:val="en-US" w:eastAsia="zh-CN"/>
              </w:rPr>
              <w:t>可移动止停装置的缓冲器</w:t>
            </w:r>
            <w:r>
              <w:rPr>
                <w:rFonts w:hint="eastAsia" w:ascii="宋体" w:hAnsi="宋体" w:cs="宋体"/>
                <w:color w:val="auto"/>
                <w:sz w:val="24"/>
                <w:szCs w:val="24"/>
                <w:lang w:val="en-US" w:eastAsia="zh-CN"/>
              </w:rPr>
              <w:t>上</w:t>
            </w:r>
            <w:r>
              <w:rPr>
                <w:rFonts w:hint="eastAsia" w:ascii="宋体" w:hAnsi="宋体" w:eastAsia="宋体" w:cs="宋体"/>
                <w:color w:val="auto"/>
                <w:sz w:val="24"/>
                <w:szCs w:val="24"/>
                <w:lang w:val="en-US" w:eastAsia="zh-CN"/>
              </w:rPr>
              <w:t>时，</w:t>
            </w:r>
            <w:r>
              <w:rPr>
                <w:rFonts w:hint="eastAsia" w:ascii="宋体" w:hAnsi="宋体" w:cs="宋体"/>
                <w:color w:val="auto"/>
                <w:sz w:val="24"/>
                <w:szCs w:val="24"/>
                <w:lang w:val="en-US" w:eastAsia="zh-CN"/>
              </w:rPr>
              <w:t>底坑空间尺寸</w:t>
            </w:r>
            <w:r>
              <w:rPr>
                <w:rFonts w:hint="eastAsia" w:ascii="宋体" w:hAnsi="宋体" w:eastAsia="宋体" w:cs="宋体"/>
                <w:color w:val="auto"/>
                <w:sz w:val="24"/>
                <w:szCs w:val="24"/>
                <w:lang w:val="en-US" w:eastAsia="zh-CN"/>
              </w:rPr>
              <w:t>应</w:t>
            </w:r>
            <w:r>
              <w:rPr>
                <w:rFonts w:hint="eastAsia" w:ascii="宋体" w:hAnsi="宋体" w:cs="宋体"/>
                <w:color w:val="auto"/>
                <w:sz w:val="24"/>
                <w:szCs w:val="24"/>
                <w:lang w:val="en-US" w:eastAsia="zh-CN"/>
              </w:rPr>
              <w:t>当同时</w:t>
            </w:r>
            <w:r>
              <w:rPr>
                <w:rFonts w:hint="eastAsia" w:ascii="宋体" w:hAnsi="宋体" w:eastAsia="宋体" w:cs="宋体"/>
                <w:color w:val="auto"/>
                <w:sz w:val="24"/>
                <w:szCs w:val="24"/>
                <w:lang w:val="en-US" w:eastAsia="zh-CN"/>
              </w:rPr>
              <w:t>满足</w:t>
            </w:r>
            <w:r>
              <w:rPr>
                <w:rFonts w:hint="eastAsia" w:ascii="宋体" w:hAnsi="宋体" w:cs="宋体"/>
                <w:color w:val="auto"/>
                <w:sz w:val="24"/>
                <w:szCs w:val="24"/>
                <w:lang w:val="en-US" w:eastAsia="zh-CN"/>
              </w:rPr>
              <w:t>以下要求</w:t>
            </w:r>
            <w:r>
              <w:rPr>
                <w:rFonts w:hint="eastAsia" w:ascii="宋体" w:hAnsi="宋体" w:eastAsia="宋体" w:cs="宋体"/>
                <w:color w:val="auto"/>
                <w:sz w:val="24"/>
                <w:szCs w:val="24"/>
                <w:lang w:val="en-US" w:eastAsia="zh-CN"/>
              </w:rPr>
              <w:t>：</w:t>
            </w:r>
          </w:p>
          <w:p>
            <w:pPr>
              <w:pStyle w:val="2"/>
              <w:widowControl w:val="0"/>
              <w:numPr>
                <w:ilvl w:val="0"/>
                <w:numId w:val="0"/>
              </w:numPr>
              <w:spacing w:line="240" w:lineRule="auto"/>
              <w:jc w:val="left"/>
              <w:rPr>
                <w:rFonts w:hint="eastAsia" w:ascii="宋体" w:hAnsi="宋体" w:eastAsia="宋体" w:cs="宋体"/>
                <w:bCs/>
                <w:snapToGrid w:val="0"/>
                <w:color w:val="auto"/>
                <w:kern w:val="0"/>
                <w:sz w:val="24"/>
                <w:szCs w:val="24"/>
              </w:rPr>
            </w:pPr>
            <w:r>
              <w:rPr>
                <w:rStyle w:val="6"/>
                <w:rFonts w:hint="eastAsia"/>
                <w:i w:val="0"/>
                <w:color w:val="auto"/>
                <w:lang w:val="en-US" w:eastAsia="zh-CN" w:bidi="ar"/>
              </w:rPr>
              <w:t>(</w:t>
            </w:r>
            <w:r>
              <w:rPr>
                <w:rStyle w:val="6"/>
                <w:i w:val="0"/>
                <w:color w:val="auto"/>
                <w:lang w:val="en-US" w:eastAsia="zh-CN" w:bidi="ar"/>
              </w:rPr>
              <w:t>1</w:t>
            </w:r>
            <w:r>
              <w:rPr>
                <w:rStyle w:val="6"/>
                <w:rFonts w:hint="eastAsia"/>
                <w:i w:val="0"/>
                <w:color w:val="auto"/>
                <w:lang w:val="en-US" w:eastAsia="zh-CN" w:bidi="ar"/>
              </w:rPr>
              <w:t>)</w:t>
            </w:r>
            <w:r>
              <w:rPr>
                <w:rFonts w:hint="eastAsia" w:ascii="宋体" w:hAnsi="宋体" w:eastAsia="宋体" w:cs="宋体"/>
                <w:bCs/>
                <w:snapToGrid w:val="0"/>
                <w:color w:val="auto"/>
                <w:kern w:val="0"/>
                <w:sz w:val="24"/>
                <w:szCs w:val="24"/>
              </w:rPr>
              <w:t>底坑中有一个不小于0.50m×0.60m×1.0m的空间（任一面朝下即可）；</w:t>
            </w:r>
          </w:p>
          <w:p>
            <w:pPr>
              <w:pStyle w:val="2"/>
              <w:widowControl w:val="0"/>
              <w:numPr>
                <w:ilvl w:val="0"/>
                <w:numId w:val="0"/>
              </w:numPr>
              <w:spacing w:line="240" w:lineRule="auto"/>
              <w:ind w:left="0" w:leftChars="0" w:firstLine="0" w:firstLineChars="0"/>
              <w:jc w:val="both"/>
              <w:rPr>
                <w:rFonts w:hint="eastAsia" w:ascii="宋体" w:hAnsi="宋体" w:eastAsia="宋体" w:cs="宋体"/>
                <w:i w:val="0"/>
                <w:color w:val="auto"/>
                <w:sz w:val="24"/>
                <w:szCs w:val="24"/>
                <w:u w:val="none"/>
              </w:rPr>
            </w:pPr>
          </w:p>
        </w:tc>
        <w:tc>
          <w:tcPr>
            <w:tcW w:w="560" w:type="dxa"/>
            <w:vAlign w:val="center"/>
          </w:tcPr>
          <w:p>
            <w:pPr>
              <w:keepNext w:val="0"/>
              <w:keepLines w:val="0"/>
              <w:widowControl/>
              <w:suppressLineNumbers w:val="0"/>
              <w:jc w:val="left"/>
              <w:textAlignment w:val="center"/>
              <w:rPr>
                <w:rFonts w:hint="eastAsia" w:ascii="宋体" w:hAnsi="宋体" w:cs="宋体"/>
                <w:i w:val="0"/>
                <w:color w:val="auto"/>
                <w:sz w:val="24"/>
                <w:szCs w:val="24"/>
                <w:u w:val="none"/>
                <w:lang w:val="en-US" w:eastAsia="zh-CN"/>
              </w:rPr>
            </w:pPr>
          </w:p>
        </w:tc>
        <w:tc>
          <w:tcPr>
            <w:tcW w:w="561" w:type="dxa"/>
            <w:vAlign w:val="center"/>
          </w:tcPr>
          <w:p>
            <w:pPr>
              <w:keepNext w:val="0"/>
              <w:keepLines w:val="0"/>
              <w:widowControl/>
              <w:suppressLineNumbers w:val="0"/>
              <w:jc w:val="left"/>
              <w:textAlignment w:val="center"/>
              <w:rPr>
                <w:rFonts w:hint="eastAsia" w:ascii="宋体" w:hAnsi="宋体" w:cs="宋体"/>
                <w:i w:val="0"/>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4" w:hRule="atLeast"/>
        </w:trPr>
        <w:tc>
          <w:tcPr>
            <w:tcW w:w="1242" w:type="dxa"/>
            <w:gridSpan w:val="2"/>
            <w:vAlign w:val="center"/>
          </w:tcPr>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项目及类别</w:t>
            </w:r>
          </w:p>
        </w:tc>
        <w:tc>
          <w:tcPr>
            <w:tcW w:w="6579" w:type="dxa"/>
            <w:vAlign w:val="center"/>
          </w:tcPr>
          <w:p>
            <w:pPr>
              <w:keepNext w:val="0"/>
              <w:keepLines w:val="0"/>
              <w:widowControl/>
              <w:suppressLineNumbers w:val="0"/>
              <w:jc w:val="center"/>
              <w:textAlignment w:val="center"/>
              <w:rPr>
                <w:rStyle w:val="6"/>
                <w:rFonts w:hint="eastAsia"/>
                <w:i w:val="0"/>
                <w:color w:val="auto"/>
                <w:lang w:val="en-US" w:eastAsia="zh-CN" w:bidi="ar"/>
              </w:rPr>
            </w:pPr>
            <w:r>
              <w:rPr>
                <w:rFonts w:hint="eastAsia" w:ascii="宋体" w:hAnsi="宋体" w:cs="宋体"/>
                <w:i w:val="0"/>
                <w:color w:val="auto"/>
                <w:kern w:val="0"/>
                <w:sz w:val="24"/>
                <w:szCs w:val="24"/>
                <w:u w:val="none"/>
                <w:lang w:val="en-US" w:eastAsia="zh-CN" w:bidi="ar"/>
              </w:rPr>
              <w:t>检验</w:t>
            </w:r>
            <w:r>
              <w:rPr>
                <w:rFonts w:hint="eastAsia" w:ascii="宋体" w:hAnsi="宋体" w:eastAsia="宋体" w:cs="宋体"/>
                <w:i w:val="0"/>
                <w:color w:val="auto"/>
                <w:kern w:val="0"/>
                <w:sz w:val="24"/>
                <w:szCs w:val="24"/>
                <w:u w:val="none"/>
                <w:lang w:val="en-US" w:eastAsia="zh-CN" w:bidi="ar"/>
              </w:rPr>
              <w:t>内容与要求</w:t>
            </w:r>
          </w:p>
        </w:tc>
        <w:tc>
          <w:tcPr>
            <w:tcW w:w="560" w:type="dxa"/>
            <w:vAlign w:val="center"/>
          </w:tcPr>
          <w:p>
            <w:pPr>
              <w:keepNext w:val="0"/>
              <w:keepLines w:val="0"/>
              <w:widowControl/>
              <w:suppressLineNumbers w:val="0"/>
              <w:jc w:val="center"/>
              <w:textAlignment w:val="center"/>
              <w:rPr>
                <w:rFonts w:hint="eastAsia"/>
                <w:b/>
                <w:sz w:val="18"/>
                <w:szCs w:val="18"/>
              </w:rPr>
            </w:pPr>
            <w:r>
              <w:rPr>
                <w:rFonts w:hint="eastAsia"/>
                <w:b/>
                <w:sz w:val="18"/>
                <w:szCs w:val="18"/>
              </w:rPr>
              <w:t>自检</w:t>
            </w:r>
          </w:p>
          <w:p>
            <w:pPr>
              <w:keepNext w:val="0"/>
              <w:keepLines w:val="0"/>
              <w:widowControl/>
              <w:suppressLineNumbers w:val="0"/>
              <w:jc w:val="center"/>
              <w:textAlignment w:val="center"/>
              <w:rPr>
                <w:rFonts w:hint="eastAsia" w:ascii="宋体" w:hAnsi="宋体" w:cs="宋体"/>
                <w:i w:val="0"/>
                <w:color w:val="auto"/>
                <w:sz w:val="24"/>
                <w:szCs w:val="24"/>
                <w:u w:val="none"/>
                <w:lang w:val="en-US" w:eastAsia="zh-CN"/>
              </w:rPr>
            </w:pPr>
            <w:r>
              <w:rPr>
                <w:rFonts w:hint="eastAsia"/>
                <w:b/>
                <w:sz w:val="18"/>
                <w:szCs w:val="18"/>
              </w:rPr>
              <w:t>结果</w:t>
            </w:r>
          </w:p>
        </w:tc>
        <w:tc>
          <w:tcPr>
            <w:tcW w:w="561" w:type="dxa"/>
            <w:vAlign w:val="center"/>
          </w:tcPr>
          <w:p>
            <w:pPr>
              <w:keepNext w:val="0"/>
              <w:keepLines w:val="0"/>
              <w:widowControl/>
              <w:suppressLineNumbers w:val="0"/>
              <w:jc w:val="center"/>
              <w:textAlignment w:val="center"/>
              <w:rPr>
                <w:rFonts w:hint="eastAsia"/>
                <w:b/>
                <w:sz w:val="18"/>
                <w:szCs w:val="18"/>
              </w:rPr>
            </w:pPr>
            <w:r>
              <w:rPr>
                <w:rFonts w:hint="eastAsia"/>
                <w:b/>
                <w:sz w:val="18"/>
                <w:szCs w:val="18"/>
              </w:rPr>
              <w:t>自检</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b/>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57" w:hRule="atLeast"/>
        </w:trPr>
        <w:tc>
          <w:tcPr>
            <w:tcW w:w="591" w:type="dxa"/>
            <w:vMerge w:val="restart"/>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p>
          <w:p>
            <w:pPr>
              <w:jc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减小的底坑间距</w:t>
            </w:r>
          </w:p>
        </w:tc>
        <w:tc>
          <w:tcPr>
            <w:tcW w:w="65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r>
              <w:rPr>
                <w:rFonts w:hint="eastAsia" w:ascii="宋体" w:hAnsi="宋体" w:cs="宋体"/>
                <w:i w:val="0"/>
                <w:color w:val="auto"/>
                <w:kern w:val="0"/>
                <w:sz w:val="24"/>
                <w:szCs w:val="24"/>
                <w:u w:val="none"/>
                <w:lang w:val="en-US" w:eastAsia="zh-CN" w:bidi="ar"/>
              </w:rPr>
              <w:t>4</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底坑净空间</w:t>
            </w:r>
          </w:p>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p>
        </w:tc>
        <w:tc>
          <w:tcPr>
            <w:tcW w:w="6579" w:type="dxa"/>
            <w:vAlign w:val="center"/>
          </w:tcPr>
          <w:p>
            <w:pPr>
              <w:pStyle w:val="2"/>
              <w:widowControl w:val="0"/>
              <w:numPr>
                <w:ilvl w:val="0"/>
                <w:numId w:val="0"/>
              </w:numPr>
              <w:spacing w:line="240" w:lineRule="auto"/>
              <w:jc w:val="both"/>
              <w:rPr>
                <w:rFonts w:hint="eastAsia" w:ascii="宋体" w:hAnsi="宋体" w:eastAsia="宋体" w:cs="宋体"/>
                <w:i w:val="0"/>
                <w:color w:val="auto"/>
                <w:sz w:val="24"/>
                <w:szCs w:val="24"/>
                <w:u w:val="none"/>
              </w:rPr>
            </w:pPr>
            <w:r>
              <w:rPr>
                <w:rStyle w:val="6"/>
                <w:rFonts w:hint="eastAsia"/>
                <w:i w:val="0"/>
                <w:color w:val="auto"/>
                <w:lang w:val="en-US" w:eastAsia="zh-CN" w:bidi="ar"/>
              </w:rPr>
              <w:t>(2)</w:t>
            </w:r>
            <w:r>
              <w:rPr>
                <w:rFonts w:hint="eastAsia" w:ascii="宋体" w:hAnsi="宋体" w:eastAsia="宋体" w:cs="宋体"/>
                <w:bCs/>
                <w:snapToGrid w:val="0"/>
                <w:color w:val="auto"/>
                <w:kern w:val="0"/>
                <w:sz w:val="24"/>
                <w:szCs w:val="24"/>
              </w:rPr>
              <w:t>底坑底面与轿厢最低部件</w:t>
            </w:r>
            <w:r>
              <w:rPr>
                <w:rFonts w:hint="eastAsia" w:ascii="宋体" w:hAnsi="宋体" w:cs="宋体"/>
                <w:bCs/>
                <w:snapToGrid w:val="0"/>
                <w:color w:val="auto"/>
                <w:kern w:val="0"/>
                <w:sz w:val="24"/>
                <w:szCs w:val="24"/>
                <w:lang w:val="en-US" w:eastAsia="zh-CN"/>
              </w:rPr>
              <w:t>之间</w:t>
            </w:r>
            <w:r>
              <w:rPr>
                <w:rFonts w:hint="eastAsia" w:ascii="宋体" w:hAnsi="宋体" w:eastAsia="宋体" w:cs="宋体"/>
                <w:bCs/>
                <w:snapToGrid w:val="0"/>
                <w:color w:val="auto"/>
                <w:kern w:val="0"/>
                <w:sz w:val="24"/>
                <w:szCs w:val="24"/>
              </w:rPr>
              <w:t>的自由垂直距离不小于0.50m，当垂直滑动门的部件、护脚板和相邻井道壁之间，轿厢最低部件和导轨之间的水平距离在0.15m之内时，此垂直距离允许减少到0.10m；</w:t>
            </w:r>
            <w:r>
              <w:rPr>
                <w:rFonts w:hint="eastAsia" w:ascii="宋体" w:hAnsi="宋体" w:eastAsia="宋体" w:cs="宋体"/>
                <w:bCs/>
                <w:color w:val="auto"/>
                <w:kern w:val="2"/>
                <w:sz w:val="24"/>
                <w:szCs w:val="24"/>
                <w:lang w:val="en-US" w:eastAsia="zh-CN"/>
              </w:rPr>
              <w:t>当轿厢</w:t>
            </w:r>
            <w:r>
              <w:rPr>
                <w:rFonts w:hint="eastAsia" w:ascii="宋体" w:hAnsi="宋体" w:cs="宋体"/>
                <w:bCs/>
                <w:color w:val="auto"/>
                <w:kern w:val="2"/>
                <w:sz w:val="24"/>
                <w:szCs w:val="24"/>
                <w:lang w:val="en-US" w:eastAsia="zh-CN"/>
              </w:rPr>
              <w:t>最低部件和导轨之间的水平距离大于</w:t>
            </w:r>
            <w:r>
              <w:rPr>
                <w:rFonts w:hint="eastAsia" w:ascii="宋体" w:hAnsi="宋体" w:eastAsia="宋体" w:cs="宋体"/>
                <w:bCs/>
                <w:snapToGrid w:val="0"/>
                <w:color w:val="auto"/>
                <w:kern w:val="0"/>
                <w:sz w:val="24"/>
                <w:szCs w:val="24"/>
              </w:rPr>
              <w:t>0.15m</w:t>
            </w:r>
            <w:r>
              <w:rPr>
                <w:rFonts w:hint="eastAsia" w:ascii="宋体" w:hAnsi="宋体" w:cs="宋体"/>
                <w:bCs/>
                <w:snapToGrid w:val="0"/>
                <w:color w:val="auto"/>
                <w:kern w:val="0"/>
                <w:sz w:val="24"/>
                <w:szCs w:val="24"/>
                <w:lang w:val="en-US" w:eastAsia="zh-CN"/>
              </w:rPr>
              <w:t>但不大于</w:t>
            </w:r>
            <w:r>
              <w:rPr>
                <w:rFonts w:hint="eastAsia" w:ascii="宋体" w:hAnsi="宋体" w:eastAsia="宋体" w:cs="宋体"/>
                <w:bCs/>
                <w:snapToGrid w:val="0"/>
                <w:color w:val="auto"/>
                <w:kern w:val="0"/>
                <w:sz w:val="24"/>
                <w:szCs w:val="24"/>
              </w:rPr>
              <w:t>0.5</w:t>
            </w:r>
            <w:r>
              <w:rPr>
                <w:rFonts w:hint="eastAsia" w:ascii="宋体" w:hAnsi="宋体" w:cs="宋体"/>
                <w:bCs/>
                <w:snapToGrid w:val="0"/>
                <w:color w:val="auto"/>
                <w:kern w:val="0"/>
                <w:sz w:val="24"/>
                <w:szCs w:val="24"/>
                <w:lang w:val="en-US" w:eastAsia="zh-CN"/>
              </w:rPr>
              <w:t>0</w:t>
            </w:r>
            <w:r>
              <w:rPr>
                <w:rFonts w:hint="eastAsia" w:ascii="宋体" w:hAnsi="宋体" w:eastAsia="宋体" w:cs="宋体"/>
                <w:bCs/>
                <w:snapToGrid w:val="0"/>
                <w:color w:val="auto"/>
                <w:kern w:val="0"/>
                <w:sz w:val="24"/>
                <w:szCs w:val="24"/>
              </w:rPr>
              <w:t>m</w:t>
            </w:r>
            <w:r>
              <w:rPr>
                <w:rFonts w:hint="eastAsia" w:ascii="宋体" w:hAnsi="宋体" w:cs="宋体"/>
                <w:bCs/>
                <w:snapToGrid w:val="0"/>
                <w:color w:val="auto"/>
                <w:kern w:val="0"/>
                <w:sz w:val="24"/>
                <w:szCs w:val="24"/>
                <w:lang w:val="en-US" w:eastAsia="zh-CN"/>
              </w:rPr>
              <w:t>时，此垂直距离可按线性关系增加至</w:t>
            </w:r>
            <w:r>
              <w:rPr>
                <w:rFonts w:hint="eastAsia" w:ascii="宋体" w:hAnsi="宋体" w:eastAsia="宋体" w:cs="宋体"/>
                <w:bCs/>
                <w:snapToGrid w:val="0"/>
                <w:color w:val="auto"/>
                <w:kern w:val="0"/>
                <w:sz w:val="24"/>
                <w:szCs w:val="24"/>
              </w:rPr>
              <w:t>0.5</w:t>
            </w:r>
            <w:r>
              <w:rPr>
                <w:rFonts w:hint="eastAsia" w:ascii="宋体" w:hAnsi="宋体" w:cs="宋体"/>
                <w:bCs/>
                <w:snapToGrid w:val="0"/>
                <w:color w:val="auto"/>
                <w:kern w:val="0"/>
                <w:sz w:val="24"/>
                <w:szCs w:val="24"/>
                <w:lang w:val="en-US" w:eastAsia="zh-CN"/>
              </w:rPr>
              <w:t>0</w:t>
            </w:r>
            <w:r>
              <w:rPr>
                <w:rFonts w:hint="eastAsia" w:ascii="宋体" w:hAnsi="宋体" w:eastAsia="宋体" w:cs="宋体"/>
                <w:bCs/>
                <w:snapToGrid w:val="0"/>
                <w:color w:val="auto"/>
                <w:kern w:val="0"/>
                <w:sz w:val="24"/>
                <w:szCs w:val="24"/>
              </w:rPr>
              <w:t>m</w:t>
            </w:r>
            <w:r>
              <w:rPr>
                <w:rFonts w:hint="eastAsia" w:ascii="宋体" w:hAnsi="宋体" w:eastAsia="宋体" w:cs="宋体"/>
                <w:bCs/>
                <w:color w:val="auto"/>
                <w:kern w:val="2"/>
                <w:sz w:val="24"/>
                <w:szCs w:val="24"/>
                <w:lang w:val="en-US" w:eastAsia="zh-CN"/>
              </w:rPr>
              <w:t>；</w:t>
            </w:r>
          </w:p>
          <w:p>
            <w:pPr>
              <w:pStyle w:val="2"/>
              <w:widowControl w:val="0"/>
              <w:numPr>
                <w:ilvl w:val="0"/>
                <w:numId w:val="0"/>
              </w:numPr>
              <w:spacing w:line="240" w:lineRule="auto"/>
              <w:ind w:left="0" w:leftChars="0" w:firstLine="0" w:firstLineChars="0"/>
              <w:jc w:val="both"/>
              <w:rPr>
                <w:rStyle w:val="6"/>
                <w:rFonts w:hint="eastAsia"/>
                <w:i w:val="0"/>
                <w:color w:val="auto"/>
                <w:lang w:val="en-US" w:eastAsia="zh-CN" w:bidi="ar"/>
              </w:rPr>
            </w:pPr>
            <w:r>
              <w:rPr>
                <w:rStyle w:val="6"/>
                <w:rFonts w:hint="eastAsia"/>
                <w:i w:val="0"/>
                <w:color w:val="auto"/>
                <w:lang w:val="en-US" w:eastAsia="zh-CN" w:bidi="ar"/>
              </w:rPr>
              <w:t>(3)</w:t>
            </w:r>
            <w:r>
              <w:rPr>
                <w:rFonts w:hint="eastAsia" w:ascii="宋体" w:hAnsi="宋体" w:eastAsia="宋体" w:cs="宋体"/>
                <w:bCs/>
                <w:snapToGrid w:val="0"/>
                <w:color w:val="auto"/>
                <w:kern w:val="0"/>
                <w:sz w:val="24"/>
                <w:szCs w:val="24"/>
                <w:lang w:val="en-US" w:eastAsia="zh-CN"/>
              </w:rPr>
              <w:t>底坑中固定的最高部件</w:t>
            </w:r>
            <w:r>
              <w:rPr>
                <w:rFonts w:hint="eastAsia" w:ascii="宋体" w:hAnsi="宋体" w:cs="宋体"/>
                <w:bCs/>
                <w:snapToGrid w:val="0"/>
                <w:color w:val="auto"/>
                <w:kern w:val="0"/>
                <w:sz w:val="24"/>
                <w:szCs w:val="24"/>
                <w:lang w:val="en-US" w:eastAsia="zh-CN"/>
              </w:rPr>
              <w:t>和</w:t>
            </w:r>
            <w:r>
              <w:rPr>
                <w:rFonts w:hint="eastAsia" w:ascii="宋体" w:hAnsi="宋体" w:eastAsia="宋体" w:cs="宋体"/>
                <w:bCs/>
                <w:snapToGrid w:val="0"/>
                <w:color w:val="auto"/>
                <w:kern w:val="0"/>
                <w:sz w:val="24"/>
                <w:szCs w:val="24"/>
                <w:lang w:val="en-US" w:eastAsia="zh-CN"/>
              </w:rPr>
              <w:t>轿厢最低部件之间的自由垂直距离不小于0.30m；</w:t>
            </w:r>
          </w:p>
        </w:tc>
        <w:tc>
          <w:tcPr>
            <w:tcW w:w="560" w:type="dxa"/>
            <w:vAlign w:val="center"/>
          </w:tcPr>
          <w:p>
            <w:pPr>
              <w:keepNext w:val="0"/>
              <w:keepLines w:val="0"/>
              <w:widowControl/>
              <w:suppressLineNumbers w:val="0"/>
              <w:jc w:val="left"/>
              <w:textAlignment w:val="center"/>
              <w:rPr>
                <w:rFonts w:hint="eastAsia" w:ascii="宋体" w:hAnsi="宋体" w:cs="宋体"/>
                <w:i w:val="0"/>
                <w:color w:val="auto"/>
                <w:sz w:val="24"/>
                <w:szCs w:val="24"/>
                <w:u w:val="none"/>
                <w:lang w:val="en-US" w:eastAsia="zh-CN"/>
              </w:rPr>
            </w:pPr>
          </w:p>
        </w:tc>
        <w:tc>
          <w:tcPr>
            <w:tcW w:w="561" w:type="dxa"/>
            <w:vAlign w:val="center"/>
          </w:tcPr>
          <w:p>
            <w:pPr>
              <w:keepNext w:val="0"/>
              <w:keepLines w:val="0"/>
              <w:widowControl/>
              <w:suppressLineNumbers w:val="0"/>
              <w:jc w:val="left"/>
              <w:textAlignment w:val="center"/>
              <w:rPr>
                <w:rFonts w:hint="eastAsia" w:ascii="宋体" w:hAnsi="宋体" w:cs="宋体"/>
                <w:i w:val="0"/>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41" w:hRule="atLeast"/>
        </w:trPr>
        <w:tc>
          <w:tcPr>
            <w:tcW w:w="591" w:type="dxa"/>
            <w:vMerge w:val="continue"/>
            <w:vAlign w:val="center"/>
          </w:tcPr>
          <w:p>
            <w:pPr>
              <w:jc w:val="center"/>
              <w:rPr>
                <w:rFonts w:hint="eastAsia" w:ascii="宋体" w:hAnsi="宋体" w:eastAsia="宋体" w:cs="宋体"/>
                <w:i w:val="0"/>
                <w:color w:val="auto"/>
                <w:sz w:val="24"/>
                <w:szCs w:val="24"/>
                <w:u w:val="none"/>
              </w:rPr>
            </w:pPr>
          </w:p>
        </w:tc>
        <w:tc>
          <w:tcPr>
            <w:tcW w:w="651" w:type="dxa"/>
            <w:vMerge w:val="restart"/>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r>
              <w:rPr>
                <w:rFonts w:hint="eastAsia" w:ascii="宋体" w:hAnsi="宋体" w:cs="宋体"/>
                <w:i w:val="0"/>
                <w:color w:val="auto"/>
                <w:kern w:val="0"/>
                <w:sz w:val="24"/>
                <w:szCs w:val="24"/>
                <w:u w:val="none"/>
                <w:lang w:val="en-US" w:eastAsia="zh-CN" w:bidi="ar"/>
              </w:rPr>
              <w:t>5</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安全系统</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6579"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（1）应设置电气安全装置，该装置应：</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a）使安全系统动作，中止电梯的正常运行；</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b）用钥匙打开进入</w:t>
            </w:r>
            <w:r>
              <w:rPr>
                <w:rFonts w:hint="eastAsia" w:ascii="宋体" w:hAnsi="宋体" w:cs="宋体"/>
                <w:i w:val="0"/>
                <w:color w:val="auto"/>
                <w:kern w:val="0"/>
                <w:sz w:val="24"/>
                <w:szCs w:val="24"/>
                <w:u w:val="none"/>
                <w:lang w:val="en-US" w:eastAsia="zh-CN" w:bidi="ar"/>
              </w:rPr>
              <w:t>底</w:t>
            </w:r>
            <w:r>
              <w:rPr>
                <w:rFonts w:hint="eastAsia" w:ascii="宋体" w:hAnsi="宋体" w:eastAsia="宋体" w:cs="宋体"/>
                <w:i w:val="0"/>
                <w:color w:val="auto"/>
                <w:kern w:val="0"/>
                <w:sz w:val="24"/>
                <w:szCs w:val="24"/>
                <w:u w:val="none"/>
                <w:lang w:val="en-US" w:eastAsia="zh-CN" w:bidi="ar"/>
              </w:rPr>
              <w:t>坑的任何门或活板门时，该电气安全装置应动作；</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地坎距底坑地面的距离小于2.5m的任何门或活板门视为进入底坑的门。</w:t>
            </w:r>
            <w:r>
              <w:rPr>
                <w:rFonts w:hint="eastAsia" w:ascii="宋体" w:hAnsi="宋体" w:cs="宋体"/>
                <w:i w:val="0"/>
                <w:color w:val="auto"/>
                <w:kern w:val="0"/>
                <w:sz w:val="24"/>
                <w:szCs w:val="24"/>
                <w:u w:val="none"/>
                <w:lang w:val="en-US" w:eastAsia="zh-CN" w:bidi="ar"/>
              </w:rPr>
              <w:t>）</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c）是双稳态开关；</w:t>
            </w:r>
          </w:p>
          <w:p>
            <w:pPr>
              <w:keepNext w:val="0"/>
              <w:keepLines w:val="0"/>
              <w:widowControl/>
              <w:suppressLineNumbers w:val="0"/>
              <w:jc w:val="both"/>
              <w:textAlignment w:val="center"/>
              <w:rPr>
                <w:rFonts w:hint="eastAsia" w:ascii="宋体" w:hAnsi="宋体" w:cs="宋体"/>
                <w:i w:val="0"/>
                <w:color w:val="auto"/>
                <w:sz w:val="24"/>
                <w:szCs w:val="24"/>
                <w:u w:val="none"/>
                <w:lang w:val="en-US" w:eastAsia="zh-CN"/>
              </w:rPr>
            </w:pPr>
            <w:r>
              <w:rPr>
                <w:rFonts w:hint="eastAsia" w:ascii="宋体" w:hAnsi="宋体" w:eastAsia="宋体" w:cs="宋体"/>
                <w:i w:val="0"/>
                <w:color w:val="auto"/>
                <w:kern w:val="0"/>
                <w:sz w:val="24"/>
                <w:szCs w:val="24"/>
                <w:u w:val="none"/>
                <w:lang w:val="en-US" w:eastAsia="zh-CN" w:bidi="ar"/>
              </w:rPr>
              <w:t>d）与安全系统一起复位。</w:t>
            </w:r>
          </w:p>
        </w:tc>
        <w:tc>
          <w:tcPr>
            <w:tcW w:w="560" w:type="dxa"/>
            <w:vAlign w:val="center"/>
          </w:tcPr>
          <w:p>
            <w:pPr>
              <w:keepNext w:val="0"/>
              <w:keepLines w:val="0"/>
              <w:widowControl/>
              <w:suppressLineNumbers w:val="0"/>
              <w:jc w:val="left"/>
              <w:textAlignment w:val="center"/>
              <w:rPr>
                <w:rFonts w:hint="eastAsia" w:ascii="宋体" w:hAnsi="宋体" w:cs="宋体"/>
                <w:i w:val="0"/>
                <w:color w:val="auto"/>
                <w:sz w:val="24"/>
                <w:szCs w:val="24"/>
                <w:u w:val="none"/>
                <w:lang w:val="en-US" w:eastAsia="zh-CN"/>
              </w:rPr>
            </w:pPr>
          </w:p>
        </w:tc>
        <w:tc>
          <w:tcPr>
            <w:tcW w:w="561" w:type="dxa"/>
            <w:vAlign w:val="center"/>
          </w:tcPr>
          <w:p>
            <w:pPr>
              <w:keepNext w:val="0"/>
              <w:keepLines w:val="0"/>
              <w:widowControl/>
              <w:suppressLineNumbers w:val="0"/>
              <w:jc w:val="left"/>
              <w:textAlignment w:val="center"/>
              <w:rPr>
                <w:rFonts w:hint="eastAsia" w:ascii="宋体" w:hAnsi="宋体" w:cs="宋体"/>
                <w:i w:val="0"/>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137" w:hRule="atLeast"/>
        </w:trPr>
        <w:tc>
          <w:tcPr>
            <w:tcW w:w="591" w:type="dxa"/>
            <w:vMerge w:val="continue"/>
            <w:vAlign w:val="center"/>
          </w:tcPr>
          <w:p>
            <w:pPr>
              <w:keepNext w:val="0"/>
              <w:keepLines w:val="0"/>
              <w:widowControl/>
              <w:suppressLineNumbers w:val="0"/>
              <w:jc w:val="both"/>
              <w:textAlignment w:val="center"/>
            </w:pPr>
          </w:p>
        </w:tc>
        <w:tc>
          <w:tcPr>
            <w:tcW w:w="651" w:type="dxa"/>
            <w:vMerge w:val="continue"/>
            <w:vAlign w:val="center"/>
          </w:tcPr>
          <w:p/>
        </w:tc>
        <w:tc>
          <w:tcPr>
            <w:tcW w:w="6579"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（2）应设置电气复位装置，该装置应：</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a）采用挂锁或其他等效装置锁住；</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b）设置在井道外</w:t>
            </w:r>
            <w:r>
              <w:rPr>
                <w:rFonts w:hint="eastAsia" w:ascii="宋体" w:hAnsi="宋体" w:cs="宋体"/>
                <w:i w:val="0"/>
                <w:color w:val="auto"/>
                <w:kern w:val="0"/>
                <w:sz w:val="24"/>
                <w:szCs w:val="24"/>
                <w:u w:val="none"/>
                <w:lang w:val="en-US" w:eastAsia="zh-CN" w:bidi="ar"/>
              </w:rPr>
              <w:t>，仅被授权人员（维护、检查和救援）可接近</w:t>
            </w:r>
            <w:r>
              <w:rPr>
                <w:rFonts w:hint="eastAsia" w:ascii="宋体" w:hAnsi="宋体" w:eastAsia="宋体" w:cs="宋体"/>
                <w:i w:val="0"/>
                <w:color w:val="auto"/>
                <w:kern w:val="0"/>
                <w:sz w:val="24"/>
                <w:szCs w:val="24"/>
                <w:u w:val="none"/>
                <w:lang w:val="en-US" w:eastAsia="zh-CN" w:bidi="ar"/>
              </w:rPr>
              <w:t>；</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c）由一个电气安全装置监测；</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复位仅在以下情况有效：</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a）电梯不在检修运行状态；</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b）底坑和轿顶的停止装置不在“停止”位置；</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c）任何进入井道的门或活板门是关闭的且被锁紧；</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d）可移动止停装置在未动作位置。</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只能通过操作一个电气复位装置来实现安全系统的复位和电梯恢复到正常运行状态。</w:t>
            </w:r>
          </w:p>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电源故障不应导致安全系统复位。</w:t>
            </w:r>
          </w:p>
        </w:tc>
        <w:tc>
          <w:tcPr>
            <w:tcW w:w="560" w:type="dxa"/>
            <w:vAlign w:val="center"/>
          </w:tcPr>
          <w:p>
            <w:pPr>
              <w:keepNext w:val="0"/>
              <w:keepLines w:val="0"/>
              <w:widowControl/>
              <w:suppressLineNumbers w:val="0"/>
              <w:jc w:val="left"/>
              <w:textAlignment w:val="center"/>
              <w:rPr>
                <w:rFonts w:hint="eastAsia" w:ascii="宋体" w:hAnsi="宋体" w:cs="宋体"/>
                <w:i w:val="0"/>
                <w:color w:val="auto"/>
                <w:sz w:val="24"/>
                <w:szCs w:val="24"/>
                <w:u w:val="none"/>
                <w:lang w:val="en-US" w:eastAsia="zh-CN"/>
              </w:rPr>
            </w:pPr>
          </w:p>
        </w:tc>
        <w:tc>
          <w:tcPr>
            <w:tcW w:w="561" w:type="dxa"/>
            <w:vAlign w:val="center"/>
          </w:tcPr>
          <w:p>
            <w:pPr>
              <w:keepNext w:val="0"/>
              <w:keepLines w:val="0"/>
              <w:widowControl/>
              <w:suppressLineNumbers w:val="0"/>
              <w:jc w:val="left"/>
              <w:textAlignment w:val="center"/>
              <w:rPr>
                <w:rFonts w:hint="eastAsia" w:ascii="宋体" w:hAnsi="宋体" w:cs="宋体"/>
                <w:i w:val="0"/>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91" w:type="dxa"/>
            <w:vMerge w:val="continue"/>
            <w:vAlign w:val="center"/>
          </w:tcPr>
          <w:p>
            <w:pPr>
              <w:keepNext w:val="0"/>
              <w:keepLines w:val="0"/>
              <w:widowControl/>
              <w:suppressLineNumbers w:val="0"/>
              <w:jc w:val="both"/>
              <w:textAlignment w:val="center"/>
              <w:rPr>
                <w:rFonts w:hint="eastAsia" w:ascii="宋体" w:hAnsi="宋体" w:cs="宋体"/>
                <w:i w:val="0"/>
                <w:color w:val="auto"/>
                <w:sz w:val="24"/>
                <w:szCs w:val="24"/>
                <w:u w:val="none"/>
                <w:lang w:val="en-US" w:eastAsia="zh-CN"/>
              </w:rPr>
            </w:pPr>
          </w:p>
        </w:tc>
        <w:tc>
          <w:tcPr>
            <w:tcW w:w="651" w:type="dxa"/>
            <w:vMerge w:val="continue"/>
            <w:vAlign w:val="center"/>
          </w:tcPr>
          <w:p>
            <w:pPr>
              <w:rPr>
                <w:rFonts w:hint="eastAsia" w:ascii="宋体" w:hAnsi="宋体" w:cs="宋体"/>
                <w:i w:val="0"/>
                <w:color w:val="auto"/>
                <w:sz w:val="24"/>
                <w:szCs w:val="24"/>
                <w:u w:val="none"/>
                <w:lang w:val="en-US" w:eastAsia="zh-CN"/>
              </w:rPr>
            </w:pPr>
          </w:p>
        </w:tc>
        <w:tc>
          <w:tcPr>
            <w:tcW w:w="6579"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（3）附加极限开关：</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检修运行状态下，在撞击可移动止停装置的缓冲部件之前，附加极限开关应中断轿厢向下的运动。该开关仅允许轿厢向上运行。</w:t>
            </w:r>
          </w:p>
          <w:p>
            <w:pPr>
              <w:keepNext w:val="0"/>
              <w:keepLines w:val="0"/>
              <w:widowControl/>
              <w:suppressLineNumbers w:val="0"/>
              <w:jc w:val="both"/>
              <w:textAlignment w:val="center"/>
              <w:rPr>
                <w:rFonts w:hint="eastAsia" w:ascii="宋体" w:hAnsi="宋体" w:cs="宋体"/>
                <w:i w:val="0"/>
                <w:color w:val="auto"/>
                <w:sz w:val="24"/>
                <w:szCs w:val="24"/>
                <w:u w:val="none"/>
                <w:lang w:val="en-US" w:eastAsia="zh-CN"/>
              </w:rPr>
            </w:pPr>
            <w:r>
              <w:rPr>
                <w:rFonts w:hint="eastAsia" w:ascii="宋体" w:hAnsi="宋体" w:eastAsia="宋体" w:cs="宋体"/>
                <w:i w:val="0"/>
                <w:color w:val="auto"/>
                <w:kern w:val="0"/>
                <w:sz w:val="24"/>
                <w:szCs w:val="24"/>
                <w:u w:val="none"/>
                <w:lang w:val="en-US" w:eastAsia="zh-CN" w:bidi="ar"/>
              </w:rPr>
              <w:t>轿厢在停止位置时，从底坑或井道外应能安全地对所有安装在轿厢底部的零部件进行检测、试验和维护。</w:t>
            </w:r>
          </w:p>
        </w:tc>
        <w:tc>
          <w:tcPr>
            <w:tcW w:w="560" w:type="dxa"/>
            <w:vAlign w:val="center"/>
          </w:tcPr>
          <w:p>
            <w:pPr>
              <w:keepNext w:val="0"/>
              <w:keepLines w:val="0"/>
              <w:widowControl/>
              <w:suppressLineNumbers w:val="0"/>
              <w:jc w:val="left"/>
              <w:textAlignment w:val="center"/>
              <w:rPr>
                <w:rFonts w:hint="eastAsia" w:ascii="宋体" w:hAnsi="宋体" w:cs="宋体"/>
                <w:i w:val="0"/>
                <w:color w:val="auto"/>
                <w:sz w:val="24"/>
                <w:szCs w:val="24"/>
                <w:u w:val="none"/>
                <w:lang w:val="en-US" w:eastAsia="zh-CN"/>
              </w:rPr>
            </w:pPr>
          </w:p>
        </w:tc>
        <w:tc>
          <w:tcPr>
            <w:tcW w:w="561" w:type="dxa"/>
            <w:vAlign w:val="center"/>
          </w:tcPr>
          <w:p>
            <w:pPr>
              <w:keepNext w:val="0"/>
              <w:keepLines w:val="0"/>
              <w:widowControl/>
              <w:suppressLineNumbers w:val="0"/>
              <w:jc w:val="left"/>
              <w:textAlignment w:val="center"/>
              <w:rPr>
                <w:rFonts w:hint="eastAsia" w:ascii="宋体" w:hAnsi="宋体" w:cs="宋体"/>
                <w:i w:val="0"/>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91" w:type="dxa"/>
            <w:vMerge w:val="continue"/>
            <w:vAlign w:val="center"/>
          </w:tcPr>
          <w:p>
            <w:pPr>
              <w:keepNext w:val="0"/>
              <w:keepLines w:val="0"/>
              <w:widowControl/>
              <w:suppressLineNumbers w:val="0"/>
              <w:jc w:val="both"/>
              <w:textAlignment w:val="center"/>
              <w:rPr>
                <w:rFonts w:hint="eastAsia" w:ascii="宋体" w:hAnsi="宋体" w:cs="宋体"/>
                <w:i w:val="0"/>
                <w:color w:val="auto"/>
                <w:sz w:val="24"/>
                <w:szCs w:val="24"/>
                <w:u w:val="none"/>
                <w:lang w:val="en-US" w:eastAsia="zh-CN"/>
              </w:rPr>
            </w:pPr>
          </w:p>
        </w:tc>
        <w:tc>
          <w:tcPr>
            <w:tcW w:w="651" w:type="dxa"/>
            <w:vMerge w:val="continue"/>
            <w:vAlign w:val="center"/>
          </w:tcPr>
          <w:p>
            <w:pPr>
              <w:rPr>
                <w:rFonts w:hint="eastAsia" w:ascii="宋体" w:hAnsi="宋体" w:cs="宋体"/>
                <w:i w:val="0"/>
                <w:color w:val="auto"/>
                <w:sz w:val="24"/>
                <w:szCs w:val="24"/>
                <w:u w:val="none"/>
                <w:lang w:val="en-US" w:eastAsia="zh-CN"/>
              </w:rPr>
            </w:pPr>
          </w:p>
        </w:tc>
        <w:tc>
          <w:tcPr>
            <w:tcW w:w="6579"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（4）安全系统与可移动止停装置的动作组合：</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a)只有当可移动止停装置处在未动作且安全系统未动作时，电梯才能进行正常运行；</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b）只有安全系统动作，且当可移动止停装置处在动作位置时，电梯才能进行检修运行；</w:t>
            </w:r>
          </w:p>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c）当有安全系统动作且当可移动止停装置处在未动作位置时，电梯仅能进行向上方向的紧急电动运行。</w:t>
            </w:r>
          </w:p>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p>
        </w:tc>
        <w:tc>
          <w:tcPr>
            <w:tcW w:w="560" w:type="dxa"/>
            <w:vAlign w:val="center"/>
          </w:tcPr>
          <w:p>
            <w:pPr>
              <w:keepNext w:val="0"/>
              <w:keepLines w:val="0"/>
              <w:widowControl/>
              <w:suppressLineNumbers w:val="0"/>
              <w:jc w:val="both"/>
              <w:textAlignment w:val="center"/>
              <w:rPr>
                <w:rFonts w:hint="eastAsia" w:ascii="宋体" w:hAnsi="宋体" w:cs="宋体"/>
                <w:i w:val="0"/>
                <w:color w:val="auto"/>
                <w:sz w:val="24"/>
                <w:szCs w:val="24"/>
                <w:u w:val="none"/>
                <w:lang w:val="en-US" w:eastAsia="zh-CN"/>
              </w:rPr>
            </w:pPr>
          </w:p>
        </w:tc>
        <w:tc>
          <w:tcPr>
            <w:tcW w:w="561" w:type="dxa"/>
            <w:vAlign w:val="center"/>
          </w:tcPr>
          <w:p>
            <w:pPr>
              <w:keepNext w:val="0"/>
              <w:keepLines w:val="0"/>
              <w:widowControl/>
              <w:suppressLineNumbers w:val="0"/>
              <w:jc w:val="both"/>
              <w:textAlignment w:val="center"/>
              <w:rPr>
                <w:rFonts w:hint="eastAsia" w:ascii="宋体" w:hAnsi="宋体" w:cs="宋体"/>
                <w:i w:val="0"/>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1242" w:type="dxa"/>
            <w:gridSpan w:val="2"/>
            <w:vAlign w:val="center"/>
          </w:tcPr>
          <w:p>
            <w:pPr>
              <w:keepNext w:val="0"/>
              <w:keepLines w:val="0"/>
              <w:widowControl/>
              <w:suppressLineNumbers w:val="0"/>
              <w:jc w:val="center"/>
              <w:textAlignment w:val="center"/>
              <w:rPr>
                <w:rFonts w:hint="eastAsia" w:ascii="宋体" w:hAnsi="宋体" w:cs="宋体"/>
                <w:i w:val="0"/>
                <w:color w:val="auto"/>
                <w:sz w:val="24"/>
                <w:szCs w:val="24"/>
                <w:u w:val="none"/>
                <w:lang w:val="en-US" w:eastAsia="zh-CN"/>
              </w:rPr>
            </w:pPr>
            <w:r>
              <w:rPr>
                <w:rFonts w:hint="eastAsia" w:ascii="宋体" w:hAnsi="宋体" w:eastAsia="宋体" w:cs="宋体"/>
                <w:i w:val="0"/>
                <w:color w:val="auto"/>
                <w:kern w:val="0"/>
                <w:sz w:val="24"/>
                <w:szCs w:val="24"/>
                <w:u w:val="none"/>
                <w:lang w:val="en-US" w:eastAsia="zh-CN" w:bidi="ar"/>
              </w:rPr>
              <w:t>项目及类别</w:t>
            </w:r>
          </w:p>
        </w:tc>
        <w:tc>
          <w:tcPr>
            <w:tcW w:w="6579"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检验</w:t>
            </w:r>
            <w:r>
              <w:rPr>
                <w:rFonts w:hint="eastAsia" w:ascii="宋体" w:hAnsi="宋体" w:eastAsia="宋体" w:cs="宋体"/>
                <w:i w:val="0"/>
                <w:color w:val="auto"/>
                <w:kern w:val="0"/>
                <w:sz w:val="24"/>
                <w:szCs w:val="24"/>
                <w:u w:val="none"/>
                <w:lang w:val="en-US" w:eastAsia="zh-CN" w:bidi="ar"/>
              </w:rPr>
              <w:t>内容与要求</w:t>
            </w:r>
          </w:p>
        </w:tc>
        <w:tc>
          <w:tcPr>
            <w:tcW w:w="560" w:type="dxa"/>
            <w:vAlign w:val="center"/>
          </w:tcPr>
          <w:p>
            <w:pPr>
              <w:keepNext w:val="0"/>
              <w:keepLines w:val="0"/>
              <w:widowControl/>
              <w:suppressLineNumbers w:val="0"/>
              <w:jc w:val="center"/>
              <w:textAlignment w:val="center"/>
              <w:rPr>
                <w:rFonts w:hint="eastAsia"/>
                <w:b/>
                <w:sz w:val="18"/>
                <w:szCs w:val="18"/>
              </w:rPr>
            </w:pPr>
            <w:r>
              <w:rPr>
                <w:rFonts w:hint="eastAsia"/>
                <w:b/>
                <w:sz w:val="18"/>
                <w:szCs w:val="18"/>
              </w:rPr>
              <w:t>自检</w:t>
            </w:r>
          </w:p>
          <w:p>
            <w:pPr>
              <w:keepNext w:val="0"/>
              <w:keepLines w:val="0"/>
              <w:widowControl/>
              <w:suppressLineNumbers w:val="0"/>
              <w:jc w:val="center"/>
              <w:textAlignment w:val="center"/>
              <w:rPr>
                <w:rFonts w:hint="eastAsia" w:ascii="宋体" w:hAnsi="宋体" w:cs="宋体"/>
                <w:i w:val="0"/>
                <w:color w:val="auto"/>
                <w:sz w:val="24"/>
                <w:szCs w:val="24"/>
                <w:u w:val="none"/>
                <w:lang w:val="en-US" w:eastAsia="zh-CN"/>
              </w:rPr>
            </w:pPr>
            <w:r>
              <w:rPr>
                <w:rFonts w:hint="eastAsia"/>
                <w:b/>
                <w:sz w:val="18"/>
                <w:szCs w:val="18"/>
              </w:rPr>
              <w:t>结果</w:t>
            </w:r>
          </w:p>
        </w:tc>
        <w:tc>
          <w:tcPr>
            <w:tcW w:w="561" w:type="dxa"/>
            <w:vAlign w:val="center"/>
          </w:tcPr>
          <w:p>
            <w:pPr>
              <w:keepNext w:val="0"/>
              <w:keepLines w:val="0"/>
              <w:widowControl/>
              <w:suppressLineNumbers w:val="0"/>
              <w:jc w:val="center"/>
              <w:textAlignment w:val="center"/>
              <w:rPr>
                <w:rFonts w:hint="eastAsia"/>
                <w:b/>
                <w:sz w:val="18"/>
                <w:szCs w:val="18"/>
              </w:rPr>
            </w:pPr>
            <w:r>
              <w:rPr>
                <w:rFonts w:hint="eastAsia"/>
                <w:b/>
                <w:sz w:val="18"/>
                <w:szCs w:val="18"/>
              </w:rPr>
              <w:t>自检</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b/>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8" w:hRule="atLeast"/>
        </w:trPr>
        <w:tc>
          <w:tcPr>
            <w:tcW w:w="591" w:type="dxa"/>
            <w:vMerge w:val="restart"/>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p>
          <w:p>
            <w:pPr>
              <w:jc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减小的底坑间距</w:t>
            </w:r>
          </w:p>
        </w:tc>
        <w:tc>
          <w:tcPr>
            <w:tcW w:w="651" w:type="dxa"/>
            <w:vMerge w:val="restart"/>
            <w:vAlign w:val="center"/>
          </w:tcPr>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9.6</w:t>
            </w:r>
          </w:p>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视觉信号和/或听觉信号</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6579" w:type="dxa"/>
            <w:vAlign w:val="center"/>
          </w:tcPr>
          <w:p>
            <w:pPr>
              <w:numPr>
                <w:ilvl w:val="0"/>
                <w:numId w:val="2"/>
              </w:numP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通过钥匙开启进入底坑的任何门或活板门时，应有视觉信号和/或听觉信号提示可移动止停装置处于动作位置或非动作位置</w:t>
            </w:r>
          </w:p>
        </w:tc>
        <w:tc>
          <w:tcPr>
            <w:tcW w:w="560" w:type="dxa"/>
            <w:vAlign w:val="center"/>
          </w:tcPr>
          <w:p>
            <w:pPr>
              <w:spacing w:line="280" w:lineRule="exact"/>
              <w:rPr>
                <w:rFonts w:hint="eastAsia" w:ascii="宋体" w:hAnsi="宋体" w:eastAsia="宋体" w:cs="宋体"/>
                <w:i w:val="0"/>
                <w:color w:val="auto"/>
                <w:sz w:val="24"/>
                <w:szCs w:val="24"/>
                <w:u w:val="none"/>
                <w:lang w:val="en-US" w:eastAsia="zh-CN"/>
              </w:rPr>
            </w:pPr>
          </w:p>
        </w:tc>
        <w:tc>
          <w:tcPr>
            <w:tcW w:w="561" w:type="dxa"/>
            <w:vAlign w:val="center"/>
          </w:tcPr>
          <w:p>
            <w:pPr>
              <w:spacing w:line="280" w:lineRule="exact"/>
              <w:rPr>
                <w:rFonts w:hint="eastAsia" w:ascii="宋体" w:hAnsi="宋体" w:eastAsia="宋体" w:cs="宋体"/>
                <w:i w:val="0"/>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2" w:hRule="atLeast"/>
        </w:trPr>
        <w:tc>
          <w:tcPr>
            <w:tcW w:w="591" w:type="dxa"/>
            <w:vMerge w:val="continue"/>
            <w:vAlign w:val="center"/>
          </w:tcPr>
          <w:p>
            <w:pPr>
              <w:jc w:val="center"/>
            </w:pPr>
          </w:p>
        </w:tc>
        <w:tc>
          <w:tcPr>
            <w:tcW w:w="651"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6579" w:type="dxa"/>
            <w:vAlign w:val="center"/>
          </w:tcPr>
          <w:p>
            <w:pP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听觉信号可在可移动止停装置动作60s后关闭</w:t>
            </w:r>
          </w:p>
        </w:tc>
        <w:tc>
          <w:tcPr>
            <w:tcW w:w="560" w:type="dxa"/>
            <w:vAlign w:val="center"/>
          </w:tcPr>
          <w:p>
            <w:pPr>
              <w:spacing w:line="280" w:lineRule="exact"/>
              <w:rPr>
                <w:rFonts w:hint="eastAsia" w:ascii="宋体" w:hAnsi="宋体" w:eastAsia="宋体" w:cs="宋体"/>
                <w:i w:val="0"/>
                <w:color w:val="auto"/>
                <w:kern w:val="0"/>
                <w:sz w:val="24"/>
                <w:szCs w:val="24"/>
                <w:u w:val="none"/>
                <w:lang w:val="en-US" w:eastAsia="zh-CN" w:bidi="ar"/>
              </w:rPr>
            </w:pPr>
          </w:p>
        </w:tc>
        <w:tc>
          <w:tcPr>
            <w:tcW w:w="561" w:type="dxa"/>
            <w:vAlign w:val="center"/>
          </w:tcPr>
          <w:p>
            <w:pPr>
              <w:spacing w:line="280" w:lineRule="exact"/>
              <w:rPr>
                <w:rFonts w:hint="eastAsia" w:ascii="宋体" w:hAnsi="宋体" w:eastAsia="宋体" w:cs="宋体"/>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5" w:hRule="atLeast"/>
        </w:trPr>
        <w:tc>
          <w:tcPr>
            <w:tcW w:w="591" w:type="dxa"/>
            <w:vMerge w:val="continue"/>
            <w:vAlign w:val="center"/>
          </w:tcPr>
          <w:p>
            <w:pPr>
              <w:jc w:val="center"/>
            </w:pPr>
          </w:p>
        </w:tc>
        <w:tc>
          <w:tcPr>
            <w:tcW w:w="651" w:type="dxa"/>
            <w:vMerge w:val="restart"/>
            <w:vAlign w:val="center"/>
          </w:tcPr>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9.7</w:t>
            </w:r>
          </w:p>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底坑隔障和入口</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6579" w:type="dxa"/>
            <w:vAlign w:val="center"/>
          </w:tcPr>
          <w:p>
            <w:pPr>
              <w:keepNext w:val="0"/>
              <w:keepLines w:val="0"/>
              <w:widowControl/>
              <w:suppressLineNumbers w:val="0"/>
              <w:jc w:val="both"/>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在装有多台电梯且含有“浅底坑”电梯的井道中，不同电梯的运动部件之间的隔障应至少延伸至距“浅底坑”电梯的底坑地面4.0m的高度，且应能防止人员从一个底坑进入另一个底坑</w:t>
            </w:r>
          </w:p>
        </w:tc>
        <w:tc>
          <w:tcPr>
            <w:tcW w:w="560"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p>
        </w:tc>
        <w:tc>
          <w:tcPr>
            <w:tcW w:w="561"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2" w:hRule="atLeast"/>
        </w:trPr>
        <w:tc>
          <w:tcPr>
            <w:tcW w:w="591" w:type="dxa"/>
            <w:vMerge w:val="continue"/>
            <w:vAlign w:val="center"/>
          </w:tcPr>
          <w:p>
            <w:pPr>
              <w:jc w:val="center"/>
            </w:pPr>
          </w:p>
        </w:tc>
        <w:tc>
          <w:tcPr>
            <w:tcW w:w="651"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6579" w:type="dxa"/>
            <w:vAlign w:val="center"/>
          </w:tcPr>
          <w:p>
            <w:pPr>
              <w:keepNext w:val="0"/>
              <w:keepLines w:val="0"/>
              <w:widowControl/>
              <w:suppressLineNumbers w:val="0"/>
              <w:jc w:val="both"/>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如果底坑深度不超过</w:t>
            </w:r>
            <w:r>
              <w:rPr>
                <w:rFonts w:hint="eastAsia" w:ascii="宋体" w:hAnsi="宋体" w:eastAsia="宋体" w:cs="宋体"/>
                <w:bCs/>
                <w:snapToGrid w:val="0"/>
                <w:color w:val="auto"/>
                <w:kern w:val="0"/>
                <w:sz w:val="24"/>
                <w:szCs w:val="24"/>
              </w:rPr>
              <w:t>0.50m</w:t>
            </w:r>
            <w:r>
              <w:rPr>
                <w:rFonts w:hint="eastAsia" w:ascii="宋体" w:hAnsi="宋体" w:cs="宋体"/>
                <w:bCs/>
                <w:snapToGrid w:val="0"/>
                <w:color w:val="auto"/>
                <w:kern w:val="0"/>
                <w:sz w:val="24"/>
                <w:szCs w:val="24"/>
                <w:lang w:eastAsia="zh-CN"/>
              </w:rPr>
              <w:t>，</w:t>
            </w:r>
            <w:r>
              <w:rPr>
                <w:rFonts w:hint="eastAsia" w:ascii="宋体" w:hAnsi="宋体" w:cs="宋体"/>
                <w:bCs/>
                <w:snapToGrid w:val="0"/>
                <w:color w:val="auto"/>
                <w:kern w:val="0"/>
                <w:sz w:val="24"/>
                <w:szCs w:val="24"/>
                <w:lang w:val="en-US" w:eastAsia="zh-CN"/>
              </w:rPr>
              <w:t>不需要设置从层门进入底坑的永久性装置</w:t>
            </w:r>
          </w:p>
        </w:tc>
        <w:tc>
          <w:tcPr>
            <w:tcW w:w="560"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p>
        </w:tc>
        <w:tc>
          <w:tcPr>
            <w:tcW w:w="561"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2" w:hRule="atLeast"/>
        </w:trPr>
        <w:tc>
          <w:tcPr>
            <w:tcW w:w="591" w:type="dxa"/>
            <w:vMerge w:val="continue"/>
            <w:vAlign w:val="center"/>
          </w:tcPr>
          <w:p>
            <w:pPr>
              <w:jc w:val="center"/>
            </w:pPr>
          </w:p>
        </w:tc>
        <w:tc>
          <w:tcPr>
            <w:tcW w:w="651" w:type="dxa"/>
            <w:vMerge w:val="restart"/>
            <w:vAlign w:val="center"/>
          </w:tcPr>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r>
              <w:rPr>
                <w:rFonts w:hint="eastAsia" w:ascii="宋体" w:hAnsi="宋体" w:cs="宋体"/>
                <w:i w:val="0"/>
                <w:color w:val="auto"/>
                <w:kern w:val="0"/>
                <w:sz w:val="24"/>
                <w:szCs w:val="24"/>
                <w:u w:val="none"/>
                <w:lang w:val="en-US" w:eastAsia="zh-CN" w:bidi="ar"/>
              </w:rPr>
              <w:t>8</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护脚板</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6579" w:type="dxa"/>
            <w:vAlign w:val="top"/>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每一轿厢地坎上均应设置满足下列要求的可伸展的护脚板：</w:t>
            </w:r>
          </w:p>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sz w:val="24"/>
                <w:szCs w:val="24"/>
                <w:u w:val="none"/>
                <w:lang w:val="en-US" w:eastAsia="zh-CN"/>
              </w:rPr>
              <w:t>(1)</w:t>
            </w:r>
            <w:r>
              <w:rPr>
                <w:rFonts w:hint="eastAsia" w:ascii="宋体" w:hAnsi="宋体" w:eastAsia="宋体" w:cs="宋体"/>
                <w:i w:val="0"/>
                <w:color w:val="auto"/>
                <w:kern w:val="0"/>
                <w:sz w:val="24"/>
                <w:szCs w:val="24"/>
                <w:u w:val="none"/>
                <w:lang w:val="en-US" w:eastAsia="zh-CN" w:bidi="ar"/>
              </w:rPr>
              <w:t>护脚板固定部件和活动部件的宽度应覆盖对应层站入口的整个净宽度；</w:t>
            </w:r>
          </w:p>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sz w:val="24"/>
                <w:szCs w:val="24"/>
                <w:u w:val="none"/>
                <w:lang w:val="en-US" w:eastAsia="zh-CN"/>
              </w:rPr>
              <w:t>(2)</w:t>
            </w:r>
            <w:r>
              <w:rPr>
                <w:rFonts w:hint="eastAsia" w:ascii="宋体" w:hAnsi="宋体" w:eastAsia="宋体" w:cs="宋体"/>
                <w:i w:val="0"/>
                <w:color w:val="auto"/>
                <w:kern w:val="0"/>
                <w:sz w:val="24"/>
                <w:szCs w:val="24"/>
                <w:u w:val="none"/>
                <w:lang w:val="en-US" w:eastAsia="zh-CN" w:bidi="ar"/>
              </w:rPr>
              <w:t>伸展后的护脚板的垂直部分的高度不应小于0.75m。</w:t>
            </w:r>
          </w:p>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对于设置轿厢意外移动保护装置的曳引驱动电梯，只允许</w:t>
            </w:r>
            <w:r>
              <w:rPr>
                <w:rFonts w:hint="eastAsia" w:ascii="宋体" w:hAnsi="宋体" w:eastAsia="宋体" w:cs="宋体"/>
                <w:i w:val="0"/>
                <w:color w:val="auto"/>
                <w:kern w:val="0"/>
                <w:sz w:val="24"/>
                <w:szCs w:val="24"/>
                <w:u w:val="none"/>
                <w:lang w:val="en-US" w:eastAsia="zh-CN" w:bidi="ar"/>
              </w:rPr>
              <w:t>采用正常运行状态下伸展，轿厢达到最低位置时收回的护脚板</w:t>
            </w:r>
          </w:p>
        </w:tc>
        <w:tc>
          <w:tcPr>
            <w:tcW w:w="560" w:type="dxa"/>
            <w:vAlign w:val="center"/>
          </w:tcPr>
          <w:p>
            <w:pPr>
              <w:keepNext w:val="0"/>
              <w:keepLines w:val="0"/>
              <w:widowControl/>
              <w:suppressLineNumbers w:val="0"/>
              <w:jc w:val="both"/>
              <w:textAlignment w:val="center"/>
              <w:rPr>
                <w:rFonts w:hint="eastAsia" w:ascii="宋体" w:hAnsi="宋体" w:cs="宋体"/>
                <w:i w:val="0"/>
                <w:color w:val="auto"/>
                <w:kern w:val="0"/>
                <w:sz w:val="24"/>
                <w:szCs w:val="24"/>
                <w:u w:val="none"/>
                <w:lang w:val="en-US" w:eastAsia="zh-CN" w:bidi="ar"/>
              </w:rPr>
            </w:pPr>
          </w:p>
        </w:tc>
        <w:tc>
          <w:tcPr>
            <w:tcW w:w="561" w:type="dxa"/>
            <w:vAlign w:val="center"/>
          </w:tcPr>
          <w:p>
            <w:pPr>
              <w:keepNext w:val="0"/>
              <w:keepLines w:val="0"/>
              <w:widowControl/>
              <w:suppressLineNumbers w:val="0"/>
              <w:jc w:val="both"/>
              <w:textAlignment w:val="center"/>
              <w:rPr>
                <w:rFonts w:hint="eastAsia" w:ascii="宋体" w:hAnsi="宋体" w:cs="宋体"/>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67" w:hRule="atLeast"/>
        </w:trPr>
        <w:tc>
          <w:tcPr>
            <w:tcW w:w="591" w:type="dxa"/>
            <w:vMerge w:val="continue"/>
            <w:vAlign w:val="center"/>
          </w:tcPr>
          <w:p>
            <w:pPr>
              <w:jc w:val="center"/>
            </w:pPr>
          </w:p>
        </w:tc>
        <w:tc>
          <w:tcPr>
            <w:tcW w:w="651" w:type="dxa"/>
            <w:vMerge w:val="continue"/>
            <w:vAlign w:val="center"/>
          </w:tcPr>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p>
        </w:tc>
        <w:tc>
          <w:tcPr>
            <w:tcW w:w="6579" w:type="dxa"/>
            <w:vAlign w:val="top"/>
          </w:tcPr>
          <w:p>
            <w:pPr>
              <w:keepNext w:val="0"/>
              <w:keepLines w:val="0"/>
              <w:widowControl/>
              <w:suppressLineNumbers w:val="0"/>
              <w:ind w:firstLine="480" w:firstLineChars="200"/>
              <w:jc w:val="both"/>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采用正常运行状态下收回，需要时可手动伸展的护脚板，应满足：</w:t>
            </w:r>
          </w:p>
          <w:p>
            <w:pPr>
              <w:keepNext w:val="0"/>
              <w:keepLines w:val="0"/>
              <w:widowControl/>
              <w:numPr>
                <w:ilvl w:val="0"/>
                <w:numId w:val="0"/>
              </w:numPr>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w:t>
            </w:r>
            <w:r>
              <w:rPr>
                <w:rFonts w:hint="eastAsia" w:ascii="宋体" w:hAnsi="宋体" w:eastAsia="宋体" w:cs="宋体"/>
                <w:i w:val="0"/>
                <w:color w:val="auto"/>
                <w:sz w:val="24"/>
                <w:szCs w:val="24"/>
                <w:u w:val="none"/>
                <w:lang w:val="en-US" w:eastAsia="zh-CN"/>
              </w:rPr>
              <w:t>如果护脚板不在完全收回的位置，一个符合要求的电气安全装置应停止电梯的正常运行；</w:t>
            </w:r>
          </w:p>
          <w:p>
            <w:pPr>
              <w:keepNext w:val="0"/>
              <w:keepLines w:val="0"/>
              <w:widowControl/>
              <w:numPr>
                <w:ilvl w:val="0"/>
                <w:numId w:val="0"/>
              </w:numPr>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(2)轿门应设置门锁装置；</w:t>
            </w:r>
          </w:p>
          <w:p>
            <w:pPr>
              <w:keepNext w:val="0"/>
              <w:keepLines w:val="0"/>
              <w:widowControl/>
              <w:numPr>
                <w:ilvl w:val="0"/>
                <w:numId w:val="0"/>
              </w:numPr>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(3)应提供一个从救援层站可获得的用于打开轿门锁的机械装置；</w:t>
            </w:r>
          </w:p>
          <w:p>
            <w:pPr>
              <w:keepNext w:val="0"/>
              <w:keepLines w:val="0"/>
              <w:widowControl/>
              <w:numPr>
                <w:ilvl w:val="0"/>
                <w:numId w:val="0"/>
              </w:numPr>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(4)护脚板应使用开锁三角形钥匙打开；</w:t>
            </w:r>
          </w:p>
          <w:p>
            <w:pPr>
              <w:keepNext w:val="0"/>
              <w:keepLines w:val="0"/>
              <w:widowControl/>
              <w:numPr>
                <w:ilvl w:val="0"/>
                <w:numId w:val="0"/>
              </w:numPr>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(5)只有从最低层站、底坑地面或轿顶，才能通过适当的方法手动地将轿厢护脚板收回；</w:t>
            </w:r>
          </w:p>
          <w:p>
            <w:pPr>
              <w:keepNext w:val="0"/>
              <w:keepLines w:val="0"/>
              <w:widowControl/>
              <w:suppressLineNumbers w:val="0"/>
              <w:jc w:val="both"/>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sz w:val="24"/>
                <w:szCs w:val="24"/>
                <w:u w:val="none"/>
                <w:lang w:val="en-US" w:eastAsia="zh-CN"/>
              </w:rPr>
              <w:t>(6)</w:t>
            </w:r>
            <w:r>
              <w:rPr>
                <w:rFonts w:hint="eastAsia" w:ascii="宋体" w:hAnsi="宋体" w:eastAsia="宋体" w:cs="宋体"/>
                <w:i w:val="0"/>
                <w:color w:val="auto"/>
                <w:sz w:val="24"/>
                <w:szCs w:val="24"/>
                <w:u w:val="none"/>
                <w:lang w:val="en-US" w:eastAsia="zh-CN"/>
              </w:rPr>
              <w:t>在没有收回的护脚板可能与底坑底面发生碰撞的区域，一个与运动方向有关的开关应能防止向下的检修运行和紧急电动运行。</w:t>
            </w:r>
          </w:p>
        </w:tc>
        <w:tc>
          <w:tcPr>
            <w:tcW w:w="560"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p>
        </w:tc>
        <w:tc>
          <w:tcPr>
            <w:tcW w:w="561"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p>
        </w:tc>
      </w:tr>
    </w:tbl>
    <w:p>
      <w:pPr>
        <w:tabs>
          <w:tab w:val="left" w:pos="480"/>
        </w:tabs>
        <w:spacing w:line="380" w:lineRule="atLeast"/>
        <w:outlineLvl w:val="0"/>
        <w:rPr>
          <w:rFonts w:hint="eastAsia" w:ascii="仿宋_GB2312" w:hAnsi="宋体" w:eastAsia="仿宋_GB2312"/>
          <w:color w:val="auto"/>
        </w:rPr>
        <w:sectPr>
          <w:headerReference r:id="rId3" w:type="default"/>
          <w:footerReference r:id="rId4" w:type="default"/>
          <w:pgSz w:w="11906" w:h="16838"/>
          <w:pgMar w:top="1240" w:right="1287" w:bottom="1260" w:left="1797" w:header="851" w:footer="992" w:gutter="0"/>
          <w:pgNumType w:start="1"/>
          <w:cols w:space="720" w:num="1"/>
          <w:docGrid w:type="linesAndChars" w:linePitch="312" w:charSpace="0"/>
        </w:sectPr>
      </w:pPr>
    </w:p>
    <w:tbl>
      <w:tblPr>
        <w:tblStyle w:val="5"/>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4"/>
        <w:gridCol w:w="709"/>
        <w:gridCol w:w="6013"/>
        <w:gridCol w:w="828"/>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5" w:hRule="atLeast"/>
        </w:trPr>
        <w:tc>
          <w:tcPr>
            <w:tcW w:w="1283" w:type="dxa"/>
            <w:gridSpan w:val="2"/>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项目及类别</w:t>
            </w:r>
          </w:p>
        </w:tc>
        <w:tc>
          <w:tcPr>
            <w:tcW w:w="6013" w:type="dxa"/>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检验</w:t>
            </w:r>
            <w:r>
              <w:rPr>
                <w:rFonts w:hint="eastAsia" w:ascii="宋体" w:hAnsi="宋体" w:eastAsia="宋体" w:cs="宋体"/>
                <w:i w:val="0"/>
                <w:color w:val="auto"/>
                <w:kern w:val="0"/>
                <w:sz w:val="24"/>
                <w:szCs w:val="24"/>
                <w:u w:val="none"/>
                <w:lang w:val="en-US" w:eastAsia="zh-CN" w:bidi="ar"/>
              </w:rPr>
              <w:t>内容与要求</w:t>
            </w:r>
          </w:p>
        </w:tc>
        <w:tc>
          <w:tcPr>
            <w:tcW w:w="828" w:type="dxa"/>
            <w:vAlign w:val="center"/>
          </w:tcPr>
          <w:p>
            <w:pPr>
              <w:keepNext w:val="0"/>
              <w:keepLines w:val="0"/>
              <w:widowControl/>
              <w:suppressLineNumbers w:val="0"/>
              <w:jc w:val="center"/>
              <w:textAlignment w:val="center"/>
              <w:rPr>
                <w:rFonts w:hint="eastAsia"/>
                <w:b/>
                <w:sz w:val="18"/>
                <w:szCs w:val="18"/>
              </w:rPr>
            </w:pPr>
            <w:r>
              <w:rPr>
                <w:rFonts w:hint="eastAsia"/>
                <w:b/>
                <w:sz w:val="18"/>
                <w:szCs w:val="18"/>
              </w:rPr>
              <w:t>自检</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b/>
                <w:sz w:val="18"/>
                <w:szCs w:val="18"/>
              </w:rPr>
              <w:t>结果</w:t>
            </w:r>
          </w:p>
        </w:tc>
        <w:tc>
          <w:tcPr>
            <w:tcW w:w="828" w:type="dxa"/>
            <w:vAlign w:val="center"/>
          </w:tcPr>
          <w:p>
            <w:pPr>
              <w:keepNext w:val="0"/>
              <w:keepLines w:val="0"/>
              <w:widowControl/>
              <w:suppressLineNumbers w:val="0"/>
              <w:jc w:val="center"/>
              <w:textAlignment w:val="center"/>
              <w:rPr>
                <w:rFonts w:hint="eastAsia"/>
                <w:b/>
                <w:sz w:val="18"/>
                <w:szCs w:val="18"/>
              </w:rPr>
            </w:pPr>
            <w:r>
              <w:rPr>
                <w:rFonts w:hint="eastAsia"/>
                <w:b/>
                <w:sz w:val="18"/>
                <w:szCs w:val="18"/>
              </w:rPr>
              <w:t>自检</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b/>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49" w:hRule="atLeast"/>
        </w:trPr>
        <w:tc>
          <w:tcPr>
            <w:tcW w:w="574" w:type="dxa"/>
            <w:vMerge w:val="restart"/>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p>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减小的底坑间距</w:t>
            </w:r>
          </w:p>
        </w:tc>
        <w:tc>
          <w:tcPr>
            <w:tcW w:w="709" w:type="dxa"/>
            <w:vMerge w:val="restart"/>
            <w:vAlign w:val="center"/>
          </w:tcPr>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r>
              <w:rPr>
                <w:rFonts w:hint="eastAsia" w:ascii="宋体" w:hAnsi="宋体" w:cs="宋体"/>
                <w:i w:val="0"/>
                <w:color w:val="auto"/>
                <w:kern w:val="0"/>
                <w:sz w:val="24"/>
                <w:szCs w:val="24"/>
                <w:u w:val="none"/>
                <w:lang w:val="en-US" w:eastAsia="zh-CN" w:bidi="ar"/>
              </w:rPr>
              <w:t>8</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护脚板</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6013" w:type="dxa"/>
            <w:vAlign w:val="top"/>
          </w:tcPr>
          <w:p>
            <w:pPr>
              <w:keepNext w:val="0"/>
              <w:keepLines w:val="0"/>
              <w:widowControl/>
              <w:suppressLineNumbers w:val="0"/>
              <w:ind w:firstLine="480" w:firstLineChars="20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采用</w:t>
            </w:r>
            <w:r>
              <w:rPr>
                <w:rFonts w:hint="eastAsia" w:ascii="宋体" w:hAnsi="宋体" w:eastAsia="宋体" w:cs="宋体"/>
                <w:i w:val="0"/>
                <w:color w:val="auto"/>
                <w:sz w:val="24"/>
                <w:szCs w:val="24"/>
                <w:u w:val="none"/>
                <w:lang w:val="en-US" w:eastAsia="zh-CN"/>
              </w:rPr>
              <w:t>正常运行状态下收回，在任何层门被三角形钥匙打开时自动伸展至完全伸展位置的护脚板，应满足：</w:t>
            </w:r>
          </w:p>
          <w:p>
            <w:pPr>
              <w:keepNext w:val="0"/>
              <w:keepLines w:val="0"/>
              <w:widowControl/>
              <w:numPr>
                <w:ilvl w:val="0"/>
                <w:numId w:val="0"/>
              </w:numPr>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w:t>
            </w:r>
            <w:r>
              <w:rPr>
                <w:rFonts w:hint="eastAsia" w:ascii="宋体" w:hAnsi="宋体" w:eastAsia="宋体" w:cs="宋体"/>
                <w:i w:val="0"/>
                <w:color w:val="auto"/>
                <w:sz w:val="24"/>
                <w:szCs w:val="24"/>
                <w:u w:val="none"/>
                <w:lang w:val="en-US" w:eastAsia="zh-CN"/>
              </w:rPr>
              <w:t>如果护脚板不在完全收回的位置，一个符合要求的电气安全装置应停止电梯的正常运行；</w:t>
            </w:r>
          </w:p>
          <w:p>
            <w:pPr>
              <w:keepNext w:val="0"/>
              <w:keepLines w:val="0"/>
              <w:widowControl/>
              <w:numPr>
                <w:ilvl w:val="0"/>
                <w:numId w:val="0"/>
              </w:numPr>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(2)轿门应设置门锁装置；</w:t>
            </w:r>
          </w:p>
          <w:p>
            <w:pPr>
              <w:keepNext w:val="0"/>
              <w:keepLines w:val="0"/>
              <w:widowControl/>
              <w:numPr>
                <w:ilvl w:val="0"/>
                <w:numId w:val="0"/>
              </w:numPr>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(3)应提供一个从救援层站可获得的用于打开轿门锁的机械装置；</w:t>
            </w:r>
          </w:p>
          <w:p>
            <w:pPr>
              <w:keepNext w:val="0"/>
              <w:keepLines w:val="0"/>
              <w:widowControl/>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w:t>
            </w:r>
            <w:r>
              <w:rPr>
                <w:rFonts w:hint="eastAsia" w:ascii="宋体" w:hAnsi="宋体" w:eastAsia="宋体" w:cs="宋体"/>
                <w:i w:val="0"/>
                <w:color w:val="auto"/>
                <w:sz w:val="24"/>
                <w:szCs w:val="24"/>
                <w:u w:val="none"/>
                <w:lang w:val="en-US" w:eastAsia="zh-CN"/>
              </w:rPr>
              <w:t>在失电的情况下（断电或隔离），当轿厢位于完全压缩缓冲器的位置到最低层站地坎以上不大于1m的区域以外时，轿厢护脚板应能自动伸展到完全伸展的位置；</w:t>
            </w:r>
          </w:p>
          <w:p>
            <w:pPr>
              <w:keepNext w:val="0"/>
              <w:keepLines w:val="0"/>
              <w:widowControl/>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w:t>
            </w:r>
            <w:r>
              <w:rPr>
                <w:rFonts w:hint="eastAsia" w:ascii="宋体" w:hAnsi="宋体" w:eastAsia="宋体" w:cs="宋体"/>
                <w:i w:val="0"/>
                <w:color w:val="auto"/>
                <w:sz w:val="24"/>
                <w:szCs w:val="24"/>
                <w:u w:val="none"/>
                <w:lang w:val="en-US" w:eastAsia="zh-CN"/>
              </w:rPr>
              <w:t>在下列情况轿厢护脚板应能收回到完全收回的位置：</w:t>
            </w:r>
          </w:p>
          <w:p>
            <w:pPr>
              <w:keepNext w:val="0"/>
              <w:keepLines w:val="0"/>
              <w:widowControl/>
              <w:suppressLineNumbers w:val="0"/>
              <w:ind w:firstLine="240" w:firstLineChars="100"/>
              <w:jc w:val="both"/>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ⅰ）在层门关闭并锁住后自动进行；或</w:t>
            </w:r>
          </w:p>
          <w:p>
            <w:pPr>
              <w:keepNext w:val="0"/>
              <w:keepLines w:val="0"/>
              <w:widowControl/>
              <w:suppressLineNumbers w:val="0"/>
              <w:ind w:firstLine="240" w:firstLineChars="100"/>
              <w:jc w:val="both"/>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ⅱ）只有从最低层站、底坑地面或轿顶用适当的方法手动进行；</w:t>
            </w:r>
          </w:p>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sz w:val="24"/>
                <w:szCs w:val="24"/>
                <w:u w:val="none"/>
                <w:lang w:val="en-US" w:eastAsia="zh-CN"/>
              </w:rPr>
              <w:t>(6)</w:t>
            </w:r>
            <w:r>
              <w:rPr>
                <w:rFonts w:hint="eastAsia" w:ascii="宋体" w:hAnsi="宋体" w:eastAsia="宋体" w:cs="宋体"/>
                <w:i w:val="0"/>
                <w:color w:val="auto"/>
                <w:sz w:val="24"/>
                <w:szCs w:val="24"/>
                <w:u w:val="none"/>
                <w:lang w:val="en-US" w:eastAsia="zh-CN"/>
              </w:rPr>
              <w:t>在没有收回的护脚板可能与底坑底面发生碰撞的区域，一个与运动方向有关的开关应能防止向下的检修运行和紧急电动运行。</w:t>
            </w:r>
          </w:p>
        </w:tc>
        <w:tc>
          <w:tcPr>
            <w:tcW w:w="828"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p>
        </w:tc>
        <w:tc>
          <w:tcPr>
            <w:tcW w:w="828"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95" w:hRule="atLeast"/>
        </w:trPr>
        <w:tc>
          <w:tcPr>
            <w:tcW w:w="574" w:type="dxa"/>
            <w:vMerge w:val="continue"/>
            <w:vAlign w:val="center"/>
          </w:tcPr>
          <w:p>
            <w:pPr>
              <w:jc w:val="center"/>
              <w:rPr>
                <w:rFonts w:hint="eastAsia" w:ascii="宋体" w:hAnsi="宋体" w:eastAsia="宋体" w:cs="宋体"/>
                <w:i w:val="0"/>
                <w:color w:val="auto"/>
                <w:kern w:val="0"/>
                <w:sz w:val="24"/>
                <w:szCs w:val="24"/>
                <w:u w:val="none"/>
                <w:lang w:val="en-US" w:eastAsia="zh-CN" w:bidi="ar"/>
              </w:rPr>
            </w:pPr>
          </w:p>
        </w:tc>
        <w:tc>
          <w:tcPr>
            <w:tcW w:w="709"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6013" w:type="dxa"/>
            <w:vAlign w:val="center"/>
          </w:tcPr>
          <w:p>
            <w:pPr>
              <w:keepNext w:val="0"/>
              <w:keepLines w:val="0"/>
              <w:widowControl/>
              <w:suppressLineNumbers w:val="0"/>
              <w:ind w:firstLine="480" w:firstLineChars="20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采用正常运行状态下伸展，轿厢达到最低位置时收回的护脚板，应满足：</w:t>
            </w:r>
          </w:p>
          <w:p>
            <w:pPr>
              <w:keepNext w:val="0"/>
              <w:keepLines w:val="0"/>
              <w:widowControl/>
              <w:suppressLineNumbers w:val="0"/>
              <w:ind w:firstLine="480" w:firstLineChars="20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当轿厢位于完全压缩缓冲器的位置到最低层站地坎以上不大于1m的区域以外时，如果护脚板不再完全伸展状态，应有电气安全装置停止电梯的正常运行。</w:t>
            </w:r>
          </w:p>
        </w:tc>
        <w:tc>
          <w:tcPr>
            <w:tcW w:w="828"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p>
        </w:tc>
        <w:tc>
          <w:tcPr>
            <w:tcW w:w="828"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53" w:hRule="atLeast"/>
        </w:trPr>
        <w:tc>
          <w:tcPr>
            <w:tcW w:w="574" w:type="dxa"/>
            <w:vMerge w:val="continue"/>
            <w:vAlign w:val="center"/>
          </w:tcPr>
          <w:p>
            <w:pPr>
              <w:jc w:val="center"/>
              <w:rPr>
                <w:rFonts w:hint="eastAsia" w:ascii="宋体" w:hAnsi="宋体" w:eastAsia="宋体" w:cs="宋体"/>
                <w:i w:val="0"/>
                <w:color w:val="auto"/>
                <w:kern w:val="0"/>
                <w:sz w:val="24"/>
                <w:szCs w:val="24"/>
                <w:u w:val="none"/>
                <w:lang w:val="en-US" w:eastAsia="zh-CN" w:bidi="ar"/>
              </w:rPr>
            </w:pPr>
          </w:p>
        </w:tc>
        <w:tc>
          <w:tcPr>
            <w:tcW w:w="709" w:type="dxa"/>
            <w:vMerge w:val="restart"/>
            <w:vAlign w:val="center"/>
          </w:tcPr>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9.9</w:t>
            </w:r>
          </w:p>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注意和警告</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6013" w:type="dxa"/>
            <w:vAlign w:val="center"/>
          </w:tcPr>
          <w:p>
            <w:pP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减小的底部间距：</w:t>
            </w:r>
          </w:p>
          <w:p>
            <w:pP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应在下列位置设置“危险-减小的底部间距-注意有关说明”的安全须知：</w:t>
            </w:r>
          </w:p>
          <w:p>
            <w:pP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a)机器空间内的应急操作装置上；</w:t>
            </w:r>
          </w:p>
          <w:p>
            <w:pP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b)电梯复位装置上；</w:t>
            </w:r>
          </w:p>
          <w:p>
            <w:pP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c)在底坑。</w:t>
            </w:r>
          </w:p>
          <w:p>
            <w:pP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该安全须知可附加符合GB/T 28621-2012要求的警告标志</w:t>
            </w:r>
          </w:p>
        </w:tc>
        <w:tc>
          <w:tcPr>
            <w:tcW w:w="828" w:type="dxa"/>
            <w:vAlign w:val="center"/>
          </w:tcPr>
          <w:p>
            <w:pPr>
              <w:spacing w:line="280" w:lineRule="exact"/>
              <w:rPr>
                <w:rFonts w:hint="eastAsia" w:ascii="宋体" w:hAnsi="宋体" w:cs="宋体"/>
                <w:bCs/>
                <w:snapToGrid w:val="0"/>
                <w:color w:val="auto"/>
                <w:kern w:val="0"/>
                <w:sz w:val="24"/>
                <w:szCs w:val="24"/>
                <w:lang w:val="en-US" w:eastAsia="zh-CN"/>
              </w:rPr>
            </w:pPr>
          </w:p>
        </w:tc>
        <w:tc>
          <w:tcPr>
            <w:tcW w:w="828" w:type="dxa"/>
            <w:vAlign w:val="center"/>
          </w:tcPr>
          <w:p>
            <w:pPr>
              <w:spacing w:line="280" w:lineRule="exact"/>
              <w:rPr>
                <w:rFonts w:hint="eastAsia" w:ascii="宋体" w:hAnsi="宋体" w:cs="宋体"/>
                <w:bCs/>
                <w:snapToGrid w:val="0"/>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6" w:hRule="atLeast"/>
        </w:trPr>
        <w:tc>
          <w:tcPr>
            <w:tcW w:w="574" w:type="dxa"/>
            <w:vMerge w:val="continue"/>
            <w:vAlign w:val="center"/>
          </w:tcPr>
          <w:p>
            <w:pPr>
              <w:jc w:val="center"/>
              <w:rPr>
                <w:rFonts w:hint="eastAsia" w:ascii="宋体" w:hAnsi="宋体" w:eastAsia="宋体" w:cs="宋体"/>
                <w:i w:val="0"/>
                <w:color w:val="auto"/>
                <w:kern w:val="0"/>
                <w:sz w:val="24"/>
                <w:szCs w:val="24"/>
                <w:u w:val="none"/>
                <w:lang w:val="en-US" w:eastAsia="zh-CN" w:bidi="ar"/>
              </w:rPr>
            </w:pPr>
          </w:p>
        </w:tc>
        <w:tc>
          <w:tcPr>
            <w:tcW w:w="709" w:type="dxa"/>
            <w:vMerge w:val="continue"/>
            <w:vAlign w:val="center"/>
          </w:tcPr>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p>
        </w:tc>
        <w:tc>
          <w:tcPr>
            <w:tcW w:w="6013" w:type="dxa"/>
            <w:vAlign w:val="center"/>
          </w:tcPr>
          <w:p>
            <w:pP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可伸展的轿厢护脚板：</w:t>
            </w:r>
          </w:p>
          <w:p>
            <w:pP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应在符合要求的机械装置上（或附近）或在或脚板固定部件上设置安全须知：“在救援被困人员前护脚板应完全伸展”。打开层门后，该安全须知在层站应清晰可见。</w:t>
            </w:r>
          </w:p>
          <w:p>
            <w:pP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该安全须知可附加符合GB/T 28621-2012要求的警告标志</w:t>
            </w:r>
          </w:p>
        </w:tc>
        <w:tc>
          <w:tcPr>
            <w:tcW w:w="828" w:type="dxa"/>
            <w:vAlign w:val="center"/>
          </w:tcPr>
          <w:p>
            <w:pPr>
              <w:spacing w:line="280" w:lineRule="exact"/>
              <w:rPr>
                <w:rFonts w:hint="eastAsia" w:ascii="宋体" w:hAnsi="宋体" w:cs="宋体"/>
                <w:bCs/>
                <w:snapToGrid w:val="0"/>
                <w:color w:val="auto"/>
                <w:kern w:val="0"/>
                <w:sz w:val="24"/>
                <w:szCs w:val="24"/>
                <w:lang w:val="en-US" w:eastAsia="zh-CN"/>
              </w:rPr>
            </w:pPr>
          </w:p>
        </w:tc>
        <w:tc>
          <w:tcPr>
            <w:tcW w:w="828" w:type="dxa"/>
            <w:vAlign w:val="center"/>
          </w:tcPr>
          <w:p>
            <w:pPr>
              <w:spacing w:line="280" w:lineRule="exact"/>
              <w:rPr>
                <w:rFonts w:hint="eastAsia" w:ascii="宋体" w:hAnsi="宋体" w:cs="宋体"/>
                <w:bCs/>
                <w:snapToGrid w:val="0"/>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15" w:hRule="atLeast"/>
        </w:trPr>
        <w:tc>
          <w:tcPr>
            <w:tcW w:w="574" w:type="dxa"/>
            <w:vMerge w:val="continue"/>
            <w:vAlign w:val="center"/>
          </w:tcPr>
          <w:p>
            <w:pPr>
              <w:jc w:val="center"/>
              <w:rPr>
                <w:rFonts w:hint="eastAsia" w:ascii="宋体" w:hAnsi="宋体" w:eastAsia="宋体" w:cs="宋体"/>
                <w:i w:val="0"/>
                <w:color w:val="auto"/>
                <w:kern w:val="0"/>
                <w:sz w:val="24"/>
                <w:szCs w:val="24"/>
                <w:u w:val="none"/>
                <w:lang w:val="en-US" w:eastAsia="zh-CN" w:bidi="ar"/>
              </w:rPr>
            </w:pPr>
          </w:p>
        </w:tc>
        <w:tc>
          <w:tcPr>
            <w:tcW w:w="709"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r>
              <w:rPr>
                <w:rFonts w:hint="eastAsia" w:ascii="宋体" w:hAnsi="宋体" w:cs="宋体"/>
                <w:i w:val="0"/>
                <w:color w:val="auto"/>
                <w:kern w:val="0"/>
                <w:sz w:val="24"/>
                <w:szCs w:val="24"/>
                <w:u w:val="none"/>
                <w:lang w:val="en-US" w:eastAsia="zh-CN" w:bidi="ar"/>
              </w:rPr>
              <w:t>10</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可移动止停装置的</w:t>
            </w:r>
            <w:r>
              <w:rPr>
                <w:rFonts w:hint="eastAsia" w:ascii="宋体" w:hAnsi="宋体" w:cs="宋体"/>
                <w:i w:val="0"/>
                <w:color w:val="auto"/>
                <w:kern w:val="0"/>
                <w:sz w:val="24"/>
                <w:szCs w:val="24"/>
                <w:u w:val="none"/>
                <w:lang w:val="en-US" w:eastAsia="zh-CN" w:bidi="ar"/>
              </w:rPr>
              <w:t>动态</w:t>
            </w:r>
            <w:r>
              <w:rPr>
                <w:rFonts w:hint="eastAsia" w:ascii="宋体" w:hAnsi="宋体" w:eastAsia="宋体" w:cs="宋体"/>
                <w:i w:val="0"/>
                <w:color w:val="auto"/>
                <w:kern w:val="0"/>
                <w:sz w:val="24"/>
                <w:szCs w:val="24"/>
                <w:u w:val="none"/>
                <w:lang w:val="en-US" w:eastAsia="zh-CN" w:bidi="ar"/>
              </w:rPr>
              <w:t>试验</w:t>
            </w:r>
          </w:p>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p>
        </w:tc>
        <w:tc>
          <w:tcPr>
            <w:tcW w:w="6013" w:type="dxa"/>
            <w:vAlign w:val="center"/>
          </w:tcPr>
          <w:p>
            <w:pPr>
              <w:ind w:firstLine="480" w:firstLineChars="200"/>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用装有额定载荷的轿厢在额定速度下进行动态试验，此过程中制动器应保持在打开状态，试验后不应出现对电梯正常使用造成不利影响的损坏。</w:t>
            </w:r>
          </w:p>
        </w:tc>
        <w:tc>
          <w:tcPr>
            <w:tcW w:w="828" w:type="dxa"/>
            <w:vAlign w:val="center"/>
          </w:tcPr>
          <w:p>
            <w:pPr>
              <w:spacing w:line="280" w:lineRule="exact"/>
              <w:rPr>
                <w:rFonts w:hint="eastAsia" w:ascii="宋体" w:hAnsi="宋体" w:eastAsia="宋体" w:cs="宋体"/>
                <w:i w:val="0"/>
                <w:color w:val="auto"/>
                <w:kern w:val="0"/>
                <w:sz w:val="24"/>
                <w:szCs w:val="24"/>
                <w:u w:val="none"/>
                <w:lang w:val="en-US" w:eastAsia="zh-CN" w:bidi="ar"/>
              </w:rPr>
            </w:pPr>
          </w:p>
        </w:tc>
        <w:tc>
          <w:tcPr>
            <w:tcW w:w="828" w:type="dxa"/>
            <w:vAlign w:val="center"/>
          </w:tcPr>
          <w:p>
            <w:pPr>
              <w:spacing w:line="280" w:lineRule="exact"/>
              <w:rPr>
                <w:rFonts w:hint="eastAsia" w:ascii="宋体" w:hAnsi="宋体" w:eastAsia="宋体" w:cs="宋体"/>
                <w:i w:val="0"/>
                <w:color w:val="auto"/>
                <w:kern w:val="0"/>
                <w:sz w:val="24"/>
                <w:szCs w:val="24"/>
                <w:u w:val="none"/>
                <w:lang w:val="en-US" w:eastAsia="zh-CN" w:bidi="ar"/>
              </w:rPr>
            </w:pPr>
          </w:p>
        </w:tc>
      </w:tr>
    </w:tbl>
    <w:p>
      <w:bookmarkStart w:id="0" w:name="_GoBack"/>
      <w:bookmarkEnd w:id="0"/>
    </w:p>
    <w:sectPr>
      <w:pgSz w:w="11906" w:h="16838"/>
      <w:pgMar w:top="850" w:right="1800" w:bottom="85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swiss"/>
    <w:pitch w:val="default"/>
    <w:sig w:usb0="E00002FF" w:usb1="6AC7FDFB" w:usb2="08000012" w:usb3="00000000" w:csb0="4002009F" w:csb1="DFD70000"/>
  </w:font>
  <w:font w:name="MS Mincho">
    <w:panose1 w:val="020206090402050803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C69FA5"/>
    <w:multiLevelType w:val="singleLevel"/>
    <w:tmpl w:val="E1C69FA5"/>
    <w:lvl w:ilvl="0" w:tentative="0">
      <w:start w:val="5"/>
      <w:numFmt w:val="decimal"/>
      <w:lvlText w:val="(%1)"/>
      <w:lvlJc w:val="left"/>
      <w:pPr>
        <w:tabs>
          <w:tab w:val="left" w:pos="312"/>
        </w:tabs>
      </w:pPr>
    </w:lvl>
  </w:abstractNum>
  <w:abstractNum w:abstractNumId="1">
    <w:nsid w:val="5A0955E8"/>
    <w:multiLevelType w:val="singleLevel"/>
    <w:tmpl w:val="5A0955E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22500"/>
    <w:rsid w:val="17834409"/>
    <w:rsid w:val="1CA22500"/>
    <w:rsid w:val="362B2D60"/>
    <w:rsid w:val="426578B7"/>
    <w:rsid w:val="70B114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2017-12-20T02:00:00Z</dcterms:created>
  <dc:creator>李树国</dc:creator>
  <cp:lastModifiedBy>李树国</cp:lastModifiedBy>
  <dcterms:modified xsi:type="dcterms:W3CDTF">2018-02-07T16:16:05Z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